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val="0"/>
        <w:autoSpaceDN/>
        <w:bidi w:val="0"/>
        <w:adjustRightInd w:val="0"/>
        <w:snapToGrid w:val="0"/>
        <w:spacing w:beforeLines="0" w:afterLines="0" w:line="580" w:lineRule="exact"/>
        <w:ind w:right="0" w:rightChars="0"/>
        <w:outlineLvl w:val="9"/>
        <w:rPr>
          <w:rFonts w:hint="eastAsia" w:ascii="仿宋_GB2312" w:hAnsi="宋体" w:eastAsia="仿宋_GB2312" w:cs="宋体"/>
          <w:kern w:val="0"/>
          <w:sz w:val="32"/>
          <w:szCs w:val="32"/>
        </w:rPr>
      </w:pPr>
      <w:bookmarkStart w:id="0" w:name="_GoBack"/>
      <w:bookmarkEnd w:id="0"/>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eastAsia="zh-CN"/>
        </w:rPr>
        <w:t>台江区</w:t>
      </w:r>
      <w:r>
        <w:rPr>
          <w:rFonts w:hint="eastAsia" w:ascii="仿宋_GB2312" w:hAnsi="宋体" w:eastAsia="仿宋_GB2312" w:cs="宋体"/>
          <w:kern w:val="0"/>
          <w:sz w:val="32"/>
          <w:szCs w:val="32"/>
        </w:rPr>
        <w:t>政务公开标准化规范化工作计划表</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台江区</w:t>
      </w:r>
      <w:r>
        <w:rPr>
          <w:rFonts w:hint="eastAsia" w:ascii="方正小标宋简体" w:hAnsi="方正小标宋简体" w:eastAsia="方正小标宋简体" w:cs="方正小标宋简体"/>
          <w:sz w:val="44"/>
          <w:szCs w:val="44"/>
        </w:rPr>
        <w:t>基层政务公开标准化规范化工作</w:t>
      </w:r>
    </w:p>
    <w:p>
      <w:pPr>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计划表</w:t>
      </w:r>
    </w:p>
    <w:tbl>
      <w:tblPr>
        <w:tblStyle w:val="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800"/>
        <w:gridCol w:w="3577"/>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014" w:type="dxa"/>
            <w:vAlign w:val="center"/>
          </w:tcPr>
          <w:p>
            <w:pPr>
              <w:jc w:val="cente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序号</w:t>
            </w:r>
          </w:p>
        </w:tc>
        <w:tc>
          <w:tcPr>
            <w:tcW w:w="1800" w:type="dxa"/>
            <w:vAlign w:val="center"/>
          </w:tcPr>
          <w:p>
            <w:pPr>
              <w:jc w:val="center"/>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工作任务</w:t>
            </w:r>
          </w:p>
        </w:tc>
        <w:tc>
          <w:tcPr>
            <w:tcW w:w="3577" w:type="dxa"/>
            <w:vAlign w:val="center"/>
          </w:tcPr>
          <w:p>
            <w:pPr>
              <w:jc w:val="center"/>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具体要求</w:t>
            </w:r>
          </w:p>
        </w:tc>
        <w:tc>
          <w:tcPr>
            <w:tcW w:w="2465" w:type="dxa"/>
            <w:vAlign w:val="center"/>
          </w:tcPr>
          <w:p>
            <w:pPr>
              <w:jc w:val="center"/>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trPr>
        <w:tc>
          <w:tcPr>
            <w:tcW w:w="1014"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800" w:type="dxa"/>
            <w:vMerge w:val="restart"/>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组织保障</w:t>
            </w: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区政府成立工作领导小组，政府负责人召开专题会议，部署推进“两化”工作。</w:t>
            </w:r>
          </w:p>
        </w:tc>
        <w:tc>
          <w:tcPr>
            <w:tcW w:w="2465" w:type="dxa"/>
            <w:vMerge w:val="restart"/>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区政府办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rPr>
            </w:pPr>
            <w:r>
              <w:rPr>
                <w:rFonts w:hint="eastAsia" w:ascii="宋体" w:hAnsi="宋体" w:cs="宋体"/>
                <w:sz w:val="24"/>
                <w:szCs w:val="24"/>
                <w:vertAlign w:val="baseline"/>
                <w:lang w:eastAsia="zh-CN"/>
              </w:rPr>
              <w:t>区政务公开工作专门机构积极组织推进“两化”工作。</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trPr>
        <w:tc>
          <w:tcPr>
            <w:tcW w:w="1014"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1800" w:type="dxa"/>
            <w:vMerge w:val="restart"/>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工作推进方法</w:t>
            </w:r>
          </w:p>
        </w:tc>
        <w:tc>
          <w:tcPr>
            <w:tcW w:w="3577" w:type="dxa"/>
            <w:vAlign w:val="center"/>
          </w:tcPr>
          <w:p>
            <w:pPr>
              <w:jc w:val="left"/>
              <w:rPr>
                <w:rFonts w:hint="eastAsia" w:ascii="宋体" w:hAnsi="宋体" w:eastAsia="宋体" w:cs="宋体"/>
                <w:sz w:val="24"/>
                <w:szCs w:val="24"/>
                <w:vertAlign w:val="baseline"/>
              </w:rPr>
            </w:pPr>
            <w:r>
              <w:rPr>
                <w:rFonts w:hint="eastAsia" w:ascii="宋体" w:hAnsi="宋体" w:cs="宋体"/>
                <w:sz w:val="24"/>
                <w:szCs w:val="24"/>
                <w:vertAlign w:val="baseline"/>
                <w:lang w:eastAsia="zh-CN"/>
              </w:rPr>
              <w:t>区政府办出台实施方案，明确工作任务、时间节点、责任单位、责任人等，建立部门联动机制与协同推进机制。</w:t>
            </w:r>
          </w:p>
        </w:tc>
        <w:tc>
          <w:tcPr>
            <w:tcW w:w="2465" w:type="dxa"/>
            <w:vMerge w:val="restart"/>
            <w:vAlign w:val="center"/>
          </w:tcPr>
          <w:p>
            <w:pPr>
              <w:jc w:val="center"/>
              <w:rPr>
                <w:rFonts w:hint="eastAsia" w:ascii="宋体" w:hAnsi="宋体" w:eastAsia="宋体" w:cs="宋体"/>
                <w:sz w:val="24"/>
                <w:szCs w:val="24"/>
                <w:vertAlign w:val="baseline"/>
              </w:rPr>
            </w:pPr>
            <w:r>
              <w:rPr>
                <w:rFonts w:hint="eastAsia" w:ascii="宋体" w:hAnsi="宋体" w:cs="宋体"/>
                <w:sz w:val="24"/>
                <w:szCs w:val="24"/>
                <w:vertAlign w:val="baseline"/>
                <w:lang w:eastAsia="zh-CN"/>
              </w:rPr>
              <w:t>区政府办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eastAsia="zh-CN"/>
              </w:rPr>
              <w:t>区政府办于</w:t>
            </w:r>
            <w:r>
              <w:rPr>
                <w:rFonts w:hint="eastAsia" w:ascii="宋体" w:hAnsi="宋体" w:cs="宋体"/>
                <w:sz w:val="24"/>
                <w:szCs w:val="24"/>
                <w:vertAlign w:val="baseline"/>
                <w:lang w:val="en-US" w:eastAsia="zh-CN"/>
              </w:rPr>
              <w:t>11月15日前将台江区政府政务公开事项标准目录汇总报送市政府办公厅</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rPr>
            </w:pPr>
            <w:r>
              <w:rPr>
                <w:rFonts w:hint="eastAsia" w:ascii="宋体" w:hAnsi="宋体" w:cs="宋体"/>
                <w:sz w:val="24"/>
                <w:szCs w:val="24"/>
                <w:vertAlign w:val="baseline"/>
                <w:lang w:eastAsia="zh-CN"/>
              </w:rPr>
              <w:t>区政府及时更新基层政务公开标准化规范化专题信息，做好标准规范、工作进展等发布工作。</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将政务公开标准化规范化工作纳入绩效考核体系等；探索引入第三方服务、评估机制，推动目录编制工作开展，确保取得实效。</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通过广播、电视、微信、网站、政务新媒体以及显示屏、公告栏、广告标语等多种形式，提高社会公众对试点工作的关注度和参与度。</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800" w:type="dxa"/>
            <w:vMerge w:val="restart"/>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明确标准</w:t>
            </w:r>
          </w:p>
        </w:tc>
        <w:tc>
          <w:tcPr>
            <w:tcW w:w="3577" w:type="dxa"/>
            <w:vAlign w:val="center"/>
          </w:tcPr>
          <w:p>
            <w:p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区直有关部门要根据市直业务主管部门印发的26个试点领域的标准指引，</w:t>
            </w:r>
            <w:r>
              <w:rPr>
                <w:rFonts w:hint="eastAsia" w:ascii="宋体" w:hAnsi="宋体" w:cs="宋体"/>
                <w:sz w:val="24"/>
                <w:szCs w:val="24"/>
                <w:vertAlign w:val="baseline"/>
                <w:lang w:eastAsia="zh-CN"/>
              </w:rPr>
              <w:t>于</w:t>
            </w:r>
            <w:r>
              <w:rPr>
                <w:rFonts w:hint="eastAsia" w:ascii="宋体" w:hAnsi="宋体" w:cs="宋体"/>
                <w:sz w:val="24"/>
                <w:szCs w:val="24"/>
                <w:vertAlign w:val="baseline"/>
                <w:lang w:val="en-US" w:eastAsia="zh-CN"/>
              </w:rPr>
              <w:t>9月25日前出台相应领域基层政务公开标准目录落实意见。同时，要及时跟进出台其他领域相关的落实意见。</w:t>
            </w:r>
          </w:p>
        </w:tc>
        <w:tc>
          <w:tcPr>
            <w:tcW w:w="2465"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区直相关领域业务部门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2"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rPr>
            </w:pPr>
            <w:r>
              <w:rPr>
                <w:rFonts w:hint="eastAsia" w:ascii="宋体" w:hAnsi="宋体" w:cs="宋体"/>
                <w:sz w:val="24"/>
                <w:szCs w:val="24"/>
                <w:vertAlign w:val="baseline"/>
                <w:lang w:eastAsia="zh-CN"/>
              </w:rPr>
              <w:t>按决策、执行、管理、服务、结果公开（以下简称“五公开”）全流程和发布、解读、回应全环节对事项目录进行细化分类，事项梳理要较之前更加全面、细化和规范化。</w:t>
            </w:r>
          </w:p>
        </w:tc>
        <w:tc>
          <w:tcPr>
            <w:tcW w:w="2465" w:type="dxa"/>
            <w:vMerge w:val="restart"/>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区政府</w:t>
            </w:r>
            <w:r>
              <w:rPr>
                <w:rFonts w:hint="eastAsia" w:ascii="宋体" w:hAnsi="宋体" w:cs="宋体"/>
                <w:sz w:val="24"/>
                <w:szCs w:val="24"/>
                <w:vertAlign w:val="baseline"/>
                <w:lang w:eastAsia="zh-CN"/>
              </w:rPr>
              <w:t>办牵头区直各业务主管部门配合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2" w:hRule="atLeast"/>
        </w:trPr>
        <w:tc>
          <w:tcPr>
            <w:tcW w:w="1014" w:type="dxa"/>
            <w:vMerge w:val="continue"/>
            <w:vAlign w:val="center"/>
          </w:tcPr>
          <w:p>
            <w:pPr>
              <w:jc w:val="center"/>
              <w:rPr>
                <w:rFonts w:hint="eastAsia" w:ascii="宋体" w:hAnsi="宋体" w:eastAsia="宋体" w:cs="宋体"/>
                <w:sz w:val="24"/>
                <w:szCs w:val="24"/>
                <w:vertAlign w:val="baseline"/>
                <w:lang w:val="en-US" w:eastAsia="zh-CN"/>
              </w:rPr>
            </w:pPr>
          </w:p>
        </w:tc>
        <w:tc>
          <w:tcPr>
            <w:tcW w:w="1800" w:type="dxa"/>
            <w:vMerge w:val="continue"/>
            <w:vAlign w:val="center"/>
          </w:tcPr>
          <w:p>
            <w:pPr>
              <w:jc w:val="center"/>
              <w:rPr>
                <w:rFonts w:hint="eastAsia" w:ascii="宋体" w:hAnsi="宋体" w:eastAsia="宋体" w:cs="宋体"/>
                <w:sz w:val="24"/>
                <w:szCs w:val="24"/>
                <w:vertAlign w:val="baseline"/>
                <w:lang w:eastAsia="zh-CN"/>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区政府办收集汇总区直业务主管部门出台的标准目录落实意见，编制完成本级政务公开事项标准目录，逐项明确名称、内容、依据、时限、主体、方式、渠道、公开对象等要素。</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trPr>
        <w:tc>
          <w:tcPr>
            <w:tcW w:w="1014"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800" w:type="dxa"/>
            <w:vMerge w:val="restart"/>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规范政务公开工作流程</w:t>
            </w: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按照国务院办公厅印发《关于全面推进政务公开工作的意见》实施细则的通知（国办发</w:t>
            </w:r>
            <w:r>
              <w:rPr>
                <w:rFonts w:hint="eastAsia" w:ascii="仿宋_GB2312" w:hAnsi="仿宋_GB2312" w:eastAsia="仿宋_GB2312" w:cs="仿宋_GB2312"/>
                <w:sz w:val="24"/>
                <w:szCs w:val="24"/>
                <w:vertAlign w:val="baseline"/>
                <w:lang w:eastAsia="zh-CN"/>
              </w:rPr>
              <w:t>〔</w:t>
            </w:r>
            <w:r>
              <w:rPr>
                <w:rFonts w:hint="eastAsia" w:ascii="宋体" w:hAnsi="宋体" w:cs="宋体"/>
                <w:sz w:val="24"/>
                <w:szCs w:val="24"/>
                <w:vertAlign w:val="baseline"/>
                <w:lang w:val="en-US" w:eastAsia="zh-CN"/>
              </w:rPr>
              <w:t>2016</w:t>
            </w:r>
            <w:r>
              <w:rPr>
                <w:rFonts w:hint="eastAsia" w:ascii="仿宋_GB2312" w:hAnsi="仿宋_GB2312" w:eastAsia="仿宋_GB2312" w:cs="仿宋_GB2312"/>
                <w:sz w:val="24"/>
                <w:szCs w:val="24"/>
                <w:vertAlign w:val="baseline"/>
                <w:lang w:eastAsia="zh-CN"/>
              </w:rPr>
              <w:t>〕</w:t>
            </w:r>
            <w:r>
              <w:rPr>
                <w:rFonts w:hint="eastAsia" w:ascii="宋体" w:hAnsi="宋体" w:cs="宋体"/>
                <w:sz w:val="24"/>
                <w:szCs w:val="24"/>
                <w:vertAlign w:val="baseline"/>
                <w:lang w:val="en-US" w:eastAsia="zh-CN"/>
              </w:rPr>
              <w:t>80号</w:t>
            </w:r>
            <w:r>
              <w:rPr>
                <w:rFonts w:hint="eastAsia" w:ascii="宋体" w:hAnsi="宋体" w:cs="宋体"/>
                <w:sz w:val="24"/>
                <w:szCs w:val="24"/>
                <w:vertAlign w:val="baseline"/>
                <w:lang w:eastAsia="zh-CN"/>
              </w:rPr>
              <w:t>）精神，建立推动“五公开”工作机制，并有效落实。</w:t>
            </w:r>
          </w:p>
        </w:tc>
        <w:tc>
          <w:tcPr>
            <w:tcW w:w="2465" w:type="dxa"/>
            <w:vMerge w:val="restart"/>
            <w:vAlign w:val="center"/>
          </w:tcPr>
          <w:p>
            <w:pPr>
              <w:jc w:val="center"/>
              <w:rPr>
                <w:rFonts w:hint="eastAsia" w:ascii="宋体" w:hAnsi="宋体" w:eastAsia="宋体" w:cs="宋体"/>
                <w:sz w:val="24"/>
                <w:szCs w:val="24"/>
                <w:vertAlign w:val="baseline"/>
              </w:rPr>
            </w:pPr>
            <w:r>
              <w:rPr>
                <w:rFonts w:hint="eastAsia" w:ascii="宋体" w:hAnsi="宋体" w:cs="宋体"/>
                <w:sz w:val="24"/>
                <w:szCs w:val="24"/>
                <w:vertAlign w:val="baseline"/>
                <w:lang w:eastAsia="zh-CN"/>
              </w:rPr>
              <w:t>区直相关部门、</w:t>
            </w:r>
            <w:r>
              <w:rPr>
                <w:rFonts w:hint="eastAsia" w:ascii="宋体" w:hAnsi="宋体" w:eastAsia="宋体" w:cs="宋体"/>
                <w:sz w:val="24"/>
                <w:szCs w:val="24"/>
                <w:vertAlign w:val="baseline"/>
              </w:rPr>
              <w:t>各</w:t>
            </w:r>
            <w:r>
              <w:rPr>
                <w:rFonts w:hint="eastAsia" w:ascii="宋体" w:hAnsi="宋体" w:cs="宋体"/>
                <w:sz w:val="24"/>
                <w:szCs w:val="24"/>
                <w:vertAlign w:val="baseline"/>
                <w:lang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1"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both"/>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将“五公开”纳入公文办理、会议办理程序；在公文起草报批时确定其公开属性，不予公开说明理由；建立政府常务会议、全体会议讨论决定的事项，除依法需要保密的外，应及时向社会公开的制度；建立涉及公共利益、公众权益的重大政策公众参与制度，明确决策前向社会公众征集意见、决策中邀请公众代表列席政府会议、决策后公开政策执行结果接受社会公众监督等方面的形式要求和操作流程。</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明确保密审查责任和程序，建立信息公开时机、范围、方式和防止泄露个人信息的审查制度。</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建立政策解读工作机制，明确解读责任，规范解读程序。</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建立舆情收集、会商、研判、回应和评估机制。</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建立依申请公开工作机制，制定依申请公开流程图，并在法定时限内按程序进行答复。</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全面梳理、编制和优化试点领域各类事项公开流程。</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trPr>
        <w:tc>
          <w:tcPr>
            <w:tcW w:w="1014"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800" w:type="dxa"/>
            <w:vMerge w:val="restart"/>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完善政务公开方式</w:t>
            </w: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将政府网站作为政务公开第一平台，开设专题专栏，集中发布试点领域政策文件、工作制度、试点成效等信息，实现政务信息常态化公开。同时，开设统一的互动交流入口和在线办事入口。</w:t>
            </w:r>
          </w:p>
        </w:tc>
        <w:tc>
          <w:tcPr>
            <w:tcW w:w="2465" w:type="dxa"/>
            <w:vMerge w:val="restart"/>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区</w:t>
            </w:r>
            <w:r>
              <w:rPr>
                <w:rFonts w:hint="eastAsia" w:ascii="宋体" w:hAnsi="宋体" w:cs="宋体"/>
                <w:sz w:val="24"/>
                <w:szCs w:val="24"/>
                <w:vertAlign w:val="baseline"/>
                <w:lang w:eastAsia="zh-CN"/>
              </w:rPr>
              <w:t>行政服务中心管委会、各街道综合便民服务中心、</w:t>
            </w:r>
            <w:r>
              <w:rPr>
                <w:rFonts w:hint="eastAsia" w:ascii="宋体" w:hAnsi="宋体" w:eastAsia="宋体" w:cs="宋体"/>
                <w:sz w:val="24"/>
                <w:szCs w:val="24"/>
                <w:vertAlign w:val="baseline"/>
              </w:rPr>
              <w:t>区</w:t>
            </w:r>
            <w:r>
              <w:rPr>
                <w:rFonts w:hint="eastAsia" w:ascii="宋体" w:hAnsi="宋体" w:cs="宋体"/>
                <w:sz w:val="24"/>
                <w:szCs w:val="24"/>
                <w:vertAlign w:val="baseline"/>
                <w:lang w:eastAsia="zh-CN"/>
              </w:rPr>
              <w:t>档案馆等部门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2"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充分利用政府网站、政务新媒体、广播、电视、报纸、公告栏、宣传册等平台以及政府档案馆、图书馆、区行政服务中心、各街道综合便民服务中心等场所，及时公开需要社会广泛知晓的政府信息。</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1014"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800" w:type="dxa"/>
            <w:vMerge w:val="restart"/>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丰富公开内容</w:t>
            </w: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完整公开</w:t>
            </w:r>
            <w:r>
              <w:rPr>
                <w:rFonts w:hint="eastAsia" w:ascii="宋体" w:hAnsi="宋体" w:cs="宋体"/>
                <w:sz w:val="24"/>
                <w:szCs w:val="24"/>
                <w:vertAlign w:val="baseline"/>
                <w:lang w:val="en-US" w:eastAsia="zh-CN"/>
              </w:rPr>
              <w:t>26个试点领域公开事项目录、公开标准和公开流程。</w:t>
            </w:r>
          </w:p>
        </w:tc>
        <w:tc>
          <w:tcPr>
            <w:tcW w:w="2465" w:type="dxa"/>
            <w:vMerge w:val="restart"/>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区直各部门、各街道办事处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rPr>
            </w:pPr>
            <w:r>
              <w:rPr>
                <w:rFonts w:hint="eastAsia" w:ascii="宋体" w:hAnsi="宋体" w:cs="宋体"/>
                <w:sz w:val="24"/>
                <w:szCs w:val="24"/>
                <w:vertAlign w:val="baseline"/>
                <w:lang w:eastAsia="zh-CN"/>
              </w:rPr>
              <w:t>通过政府门户网站及</w:t>
            </w:r>
            <w:r>
              <w:rPr>
                <w:rFonts w:hint="eastAsia" w:ascii="宋体" w:hAnsi="宋体" w:cs="宋体"/>
                <w:sz w:val="24"/>
                <w:szCs w:val="24"/>
                <w:vertAlign w:val="baseline"/>
                <w:lang w:val="en-US" w:eastAsia="zh-CN"/>
              </w:rPr>
              <w:t>26个</w:t>
            </w:r>
            <w:r>
              <w:rPr>
                <w:rFonts w:hint="eastAsia" w:ascii="宋体" w:hAnsi="宋体" w:cs="宋体"/>
                <w:sz w:val="24"/>
                <w:szCs w:val="24"/>
                <w:vertAlign w:val="baseline"/>
                <w:lang w:eastAsia="zh-CN"/>
              </w:rPr>
              <w:t>试点专题，规范公开试点领域政府信息，做到全面、及时、准确。</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坚持将公开内容与业务工作相结合，做到决策、执行、管理、服务、结果全过程信息公开。采用图片、图表、图解等形象化、通俗化的形式进行解读。对涉及试点领域的不实信息，借助媒体、网站及时主动发声、澄清事实。</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要做到推进“两化”工作后，公开内容更加全面，查找更加便捷。</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trPr>
        <w:tc>
          <w:tcPr>
            <w:tcW w:w="1014"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800"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不断优化政务服务</w:t>
            </w:r>
          </w:p>
        </w:tc>
        <w:tc>
          <w:tcPr>
            <w:tcW w:w="3577" w:type="dxa"/>
            <w:vAlign w:val="center"/>
          </w:tcPr>
          <w:p>
            <w:pPr>
              <w:jc w:val="left"/>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优化套餐服务办理流程，整合申报表单，分批次上线多个主题的套餐服务事项，实现套餐服务“一窗受理、 一表申请”，通过省网上办事大厅公开办事指南，套餐服务事项总数增加至40项以上。</w:t>
            </w:r>
          </w:p>
        </w:tc>
        <w:tc>
          <w:tcPr>
            <w:tcW w:w="2465" w:type="dxa"/>
            <w:vAlign w:val="center"/>
          </w:tcPr>
          <w:p>
            <w:pPr>
              <w:jc w:val="center"/>
              <w:rPr>
                <w:rFonts w:hint="eastAsia" w:ascii="宋体" w:hAnsi="宋体" w:eastAsia="宋体" w:cs="宋体"/>
                <w:sz w:val="24"/>
                <w:szCs w:val="24"/>
                <w:vertAlign w:val="baseline"/>
              </w:rPr>
            </w:pPr>
            <w:r>
              <w:rPr>
                <w:rFonts w:hint="eastAsia" w:ascii="宋体" w:hAnsi="宋体" w:cs="宋体"/>
                <w:sz w:val="24"/>
                <w:szCs w:val="24"/>
                <w:vertAlign w:val="baseline"/>
                <w:lang w:eastAsia="zh-CN"/>
              </w:rPr>
              <w:t>区行政服务中心牵头，区</w:t>
            </w:r>
            <w:r>
              <w:rPr>
                <w:rFonts w:hint="eastAsia" w:ascii="宋体" w:hAnsi="宋体" w:eastAsia="宋体" w:cs="宋体"/>
                <w:sz w:val="24"/>
                <w:szCs w:val="24"/>
                <w:vertAlign w:val="baseline"/>
                <w:lang w:eastAsia="zh-CN"/>
              </w:rPr>
              <w:t>直有关单位</w:t>
            </w:r>
            <w:r>
              <w:rPr>
                <w:rFonts w:hint="eastAsia" w:ascii="宋体" w:hAnsi="宋体" w:cs="宋体"/>
                <w:sz w:val="24"/>
                <w:szCs w:val="24"/>
                <w:vertAlign w:val="baseline"/>
                <w:lang w:eastAsia="zh-CN"/>
              </w:rPr>
              <w:t>、各街道办事处配合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6"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left"/>
              <w:rPr>
                <w:rFonts w:hint="eastAsia" w:ascii="宋体" w:hAnsi="宋体" w:cs="宋体"/>
                <w:sz w:val="24"/>
                <w:szCs w:val="24"/>
                <w:vertAlign w:val="baseline"/>
                <w:lang w:eastAsia="zh-CN"/>
              </w:rPr>
            </w:pPr>
          </w:p>
        </w:tc>
        <w:tc>
          <w:tcPr>
            <w:tcW w:w="3577" w:type="dxa"/>
            <w:vAlign w:val="center"/>
          </w:tcPr>
          <w:p>
            <w:pPr>
              <w:jc w:val="left"/>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所有入驻事项通过省网上办事大厅100%发布办事指南。全面梳理各项惠企政策文件，编制标准化办事指南并按企业行业关键词分类，依托政府门户网站向社会全面公开，并通过政务清单管理系统动态更新，方便企业实时获取最新政策信息。</w:t>
            </w:r>
          </w:p>
        </w:tc>
        <w:tc>
          <w:tcPr>
            <w:tcW w:w="2465" w:type="dxa"/>
            <w:vMerge w:val="restart"/>
            <w:vAlign w:val="center"/>
          </w:tcPr>
          <w:p>
            <w:pPr>
              <w:jc w:val="both"/>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区直有关部门、各街道办事处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7"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left"/>
              <w:rPr>
                <w:rFonts w:hint="eastAsia" w:ascii="宋体" w:hAnsi="宋体" w:cs="宋体"/>
                <w:sz w:val="24"/>
                <w:szCs w:val="24"/>
                <w:vertAlign w:val="baseline"/>
                <w:lang w:eastAsia="zh-CN"/>
              </w:rPr>
            </w:pPr>
          </w:p>
        </w:tc>
        <w:tc>
          <w:tcPr>
            <w:tcW w:w="3577" w:type="dxa"/>
            <w:vAlign w:val="center"/>
          </w:tcPr>
          <w:p>
            <w:pPr>
              <w:jc w:val="left"/>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全面提升网上办事大厅“一网通办”水平，进一步提升“一趟不用跑”实际办件量，高频事项“一趟不用跑”比例提升至60%以上。通过数据比对、审查标准智能判定、数据库自动检索校验等方式，依托省网上办事大厅上线一批“受理零窗口、审查零人工、领证零上门、归档零材料”的“智慧审批”事项，增强线上服务体验。</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提升群众对各领域办事公开和审批服务的满意度。</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trPr>
        <w:tc>
          <w:tcPr>
            <w:tcW w:w="1014"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800" w:type="dxa"/>
            <w:vMerge w:val="restart"/>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加大创新力度</w:t>
            </w: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制定可执行、可检查的公开工作手册，推出创新措施推动“五公开”落地见效，细化政策解读和回应关切的内容、方式等。</w:t>
            </w:r>
          </w:p>
        </w:tc>
        <w:tc>
          <w:tcPr>
            <w:tcW w:w="2465" w:type="dxa"/>
            <w:vMerge w:val="restart"/>
            <w:vAlign w:val="center"/>
          </w:tcPr>
          <w:p>
            <w:pPr>
              <w:jc w:val="both"/>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区直有关部门、各街道办事处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在平台建设、政务数据开放、政策解读、民意征集、民众监督、政民互动、社会共享共治等方面，探索推出有关创新举措。</w:t>
            </w:r>
          </w:p>
        </w:tc>
        <w:tc>
          <w:tcPr>
            <w:tcW w:w="2465"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1014" w:type="dxa"/>
            <w:vMerge w:val="continue"/>
            <w:vAlign w:val="center"/>
          </w:tcPr>
          <w:p>
            <w:pPr>
              <w:jc w:val="center"/>
              <w:rPr>
                <w:rFonts w:hint="eastAsia" w:ascii="宋体" w:hAnsi="宋体" w:eastAsia="宋体" w:cs="宋体"/>
                <w:sz w:val="24"/>
                <w:szCs w:val="24"/>
                <w:vertAlign w:val="baseline"/>
              </w:rPr>
            </w:pPr>
          </w:p>
        </w:tc>
        <w:tc>
          <w:tcPr>
            <w:tcW w:w="1800" w:type="dxa"/>
            <w:vMerge w:val="continue"/>
            <w:vAlign w:val="center"/>
          </w:tcPr>
          <w:p>
            <w:pPr>
              <w:jc w:val="center"/>
              <w:rPr>
                <w:rFonts w:hint="eastAsia" w:ascii="宋体" w:hAnsi="宋体" w:eastAsia="宋体" w:cs="宋体"/>
                <w:sz w:val="24"/>
                <w:szCs w:val="24"/>
                <w:vertAlign w:val="baseline"/>
              </w:rPr>
            </w:pPr>
          </w:p>
        </w:tc>
        <w:tc>
          <w:tcPr>
            <w:tcW w:w="3577" w:type="dxa"/>
            <w:vAlign w:val="center"/>
          </w:tcPr>
          <w:p>
            <w:pPr>
              <w:jc w:val="left"/>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创新运用数据、图表、图片、视频等方式呈现试点成效做法和创新举措。</w:t>
            </w:r>
          </w:p>
        </w:tc>
        <w:tc>
          <w:tcPr>
            <w:tcW w:w="2465" w:type="dxa"/>
            <w:vMerge w:val="continue"/>
            <w:vAlign w:val="center"/>
          </w:tcPr>
          <w:p>
            <w:pPr>
              <w:jc w:val="center"/>
              <w:rPr>
                <w:rFonts w:hint="eastAsia" w:ascii="宋体" w:hAnsi="宋体" w:eastAsia="宋体" w:cs="宋体"/>
                <w:sz w:val="24"/>
                <w:szCs w:val="24"/>
                <w:vertAlign w:val="baseli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宋体"/>
    <w:panose1 w:val="03000509000000000000"/>
    <w:charset w:val="01"/>
    <w:family w:val="script"/>
    <w:pitch w:val="default"/>
    <w:sig w:usb0="00000000" w:usb1="00000000" w:usb2="00000010" w:usb3="00000000" w:csb0="003C0041"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A0901"/>
    <w:rsid w:val="3C8A0C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仿宋_GB2312" w:hAnsi="仿宋_GB2312" w:eastAsia="仿宋_GB2312" w:cstheme="minorBidi"/>
      <w:spacing w:val="0"/>
      <w:kern w:val="2"/>
      <w:sz w:val="32"/>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HP-PC</dc:creator>
  <cp:lastModifiedBy>HP-PC</cp:lastModifiedBy>
  <dcterms:modified xsi:type="dcterms:W3CDTF">2020-10-21T10:01:45Z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