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5"/>
        <w:rPr>
          <w:sz w:val="48"/>
          <w:szCs w:val="48"/>
        </w:rPr>
      </w:pPr>
      <w:bookmarkStart w:id="3" w:name="_GoBack"/>
      <w:bookmarkEnd w:id="3"/>
    </w:p>
    <w:p>
      <w:pPr>
        <w:pStyle w:val="5"/>
        <w:rPr>
          <w:rFonts w:hint="eastAsia" w:ascii="宋体" w:hAnsi="宋体" w:eastAsia="宋体" w:cs="宋体"/>
          <w:sz w:val="44"/>
          <w:szCs w:val="44"/>
        </w:rPr>
      </w:pPr>
    </w:p>
    <w:p>
      <w:pPr>
        <w:pStyle w:val="5"/>
        <w:rPr>
          <w:rFonts w:hint="eastAsia" w:ascii="方正小标宋简体" w:hAnsi="方正小标宋简体" w:eastAsia="方正小标宋简体" w:cs="方正小标宋简体"/>
          <w:b w:val="0"/>
          <w:bCs/>
          <w:sz w:val="44"/>
          <w:szCs w:val="44"/>
        </w:rPr>
      </w:pPr>
    </w:p>
    <w:p>
      <w:pPr>
        <w:pStyle w:val="5"/>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福州市台江区噪声敏感建筑物集中</w:t>
      </w:r>
    </w:p>
    <w:p>
      <w:pPr>
        <w:pStyle w:val="5"/>
        <w:rPr>
          <w:rFonts w:hint="eastAsia" w:ascii="方正小标宋简体" w:hAnsi="方正小标宋简体" w:eastAsia="方正小标宋简体" w:cs="方正小标宋简体"/>
          <w:b w:val="0"/>
          <w:bCs/>
          <w:kern w:val="2"/>
          <w:sz w:val="44"/>
          <w:szCs w:val="44"/>
        </w:rPr>
      </w:pPr>
      <w:r>
        <w:rPr>
          <w:rFonts w:hint="eastAsia" w:ascii="方正小标宋简体" w:hAnsi="方正小标宋简体" w:eastAsia="方正小标宋简体" w:cs="方正小标宋简体"/>
          <w:b w:val="0"/>
          <w:bCs/>
          <w:sz w:val="44"/>
          <w:szCs w:val="44"/>
        </w:rPr>
        <w:t>区域划定方案</w:t>
      </w:r>
    </w:p>
    <w:p>
      <w:pPr>
        <w:ind w:firstLine="0" w:firstLineChars="0"/>
        <w:jc w:val="center"/>
        <w:rPr>
          <w:sz w:val="28"/>
          <w:szCs w:val="24"/>
        </w:rPr>
      </w:pPr>
    </w:p>
    <w:p>
      <w:pPr>
        <w:ind w:firstLine="0" w:firstLineChars="0"/>
        <w:jc w:val="center"/>
        <w:rPr>
          <w:sz w:val="28"/>
          <w:szCs w:val="24"/>
        </w:rPr>
      </w:pPr>
    </w:p>
    <w:p>
      <w:pPr>
        <w:ind w:firstLine="0" w:firstLineChars="0"/>
        <w:jc w:val="center"/>
        <w:rPr>
          <w:rFonts w:ascii="华文中宋" w:eastAsia="华文中宋" w:cs="Times New Roman"/>
          <w:b/>
          <w:kern w:val="0"/>
          <w:sz w:val="44"/>
          <w:szCs w:val="44"/>
        </w:rPr>
      </w:pPr>
    </w:p>
    <w:p>
      <w:pPr>
        <w:ind w:firstLine="560"/>
        <w:rPr>
          <w:sz w:val="28"/>
          <w:szCs w:val="24"/>
        </w:rPr>
      </w:pPr>
    </w:p>
    <w:p>
      <w:pPr>
        <w:ind w:firstLine="560"/>
        <w:rPr>
          <w:sz w:val="28"/>
          <w:szCs w:val="24"/>
        </w:rPr>
      </w:pPr>
    </w:p>
    <w:p>
      <w:pPr>
        <w:ind w:firstLine="560"/>
        <w:rPr>
          <w:sz w:val="28"/>
          <w:szCs w:val="24"/>
        </w:rPr>
      </w:pPr>
    </w:p>
    <w:p>
      <w:pPr>
        <w:ind w:firstLine="560"/>
        <w:rPr>
          <w:sz w:val="28"/>
          <w:szCs w:val="24"/>
        </w:rPr>
      </w:pPr>
    </w:p>
    <w:p>
      <w:pPr>
        <w:ind w:firstLine="560"/>
        <w:rPr>
          <w:sz w:val="28"/>
          <w:szCs w:val="24"/>
        </w:rPr>
      </w:pPr>
    </w:p>
    <w:p>
      <w:pPr>
        <w:ind w:firstLine="560"/>
        <w:rPr>
          <w:sz w:val="28"/>
          <w:szCs w:val="24"/>
        </w:rPr>
      </w:pPr>
    </w:p>
    <w:p>
      <w:pPr>
        <w:ind w:firstLine="560"/>
        <w:rPr>
          <w:sz w:val="28"/>
          <w:szCs w:val="24"/>
        </w:rPr>
      </w:pPr>
    </w:p>
    <w:p>
      <w:pPr>
        <w:ind w:firstLine="560"/>
        <w:rPr>
          <w:sz w:val="28"/>
          <w:szCs w:val="24"/>
        </w:rPr>
      </w:pPr>
    </w:p>
    <w:p>
      <w:pPr>
        <w:ind w:firstLine="560"/>
        <w:rPr>
          <w:sz w:val="28"/>
          <w:szCs w:val="24"/>
        </w:rPr>
      </w:pPr>
    </w:p>
    <w:p>
      <w:pPr>
        <w:ind w:firstLine="560"/>
        <w:rPr>
          <w:sz w:val="28"/>
          <w:szCs w:val="24"/>
        </w:rPr>
      </w:pPr>
    </w:p>
    <w:p>
      <w:pPr>
        <w:ind w:firstLine="0" w:firstLineChars="0"/>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福州市</w:t>
      </w:r>
      <w:r>
        <w:rPr>
          <w:rFonts w:hint="eastAsia" w:ascii="仿宋_GB2312" w:hAnsi="仿宋_GB2312" w:eastAsia="仿宋_GB2312" w:cs="仿宋_GB2312"/>
          <w:b w:val="0"/>
          <w:bCs w:val="0"/>
          <w:sz w:val="32"/>
          <w:szCs w:val="32"/>
        </w:rPr>
        <w:t>台江区人民政府</w:t>
      </w:r>
    </w:p>
    <w:p>
      <w:pPr>
        <w:ind w:firstLine="0" w:firstLineChars="0"/>
        <w:jc w:val="center"/>
        <w:rPr>
          <w:sz w:val="28"/>
          <w:szCs w:val="24"/>
        </w:rPr>
        <w:sectPr>
          <w:footerReference r:id="rId7" w:type="first"/>
          <w:footerReference r:id="rId5" w:type="default"/>
          <w:footerReference r:id="rId6" w:type="even"/>
          <w:pgSz w:w="11906" w:h="16838"/>
          <w:pgMar w:top="1440" w:right="1080" w:bottom="1440" w:left="1080" w:header="851" w:footer="992" w:gutter="0"/>
          <w:pgNumType w:start="1" w:chapStyle="1"/>
          <w:cols w:space="720" w:num="1"/>
          <w:docGrid w:type="lines" w:linePitch="312" w:charSpace="0"/>
        </w:sectPr>
      </w:pPr>
      <w:r>
        <w:rPr>
          <w:rFonts w:hint="eastAsia" w:ascii="仿宋_GB2312" w:hAnsi="仿宋_GB2312" w:eastAsia="仿宋_GB2312" w:cs="仿宋_GB2312"/>
          <w:b w:val="0"/>
          <w:bCs w:val="0"/>
          <w:sz w:val="32"/>
          <w:szCs w:val="32"/>
        </w:rPr>
        <w:t>2025年6月</w:t>
      </w:r>
      <w:r>
        <w:rPr>
          <w:rFonts w:hint="eastAsia"/>
          <w:b/>
          <w:bCs/>
          <w:sz w:val="28"/>
          <w:szCs w:val="24"/>
        </w:rPr>
        <w:t xml:space="preserve"> </w:t>
      </w:r>
      <w:r>
        <w:rPr>
          <w:b/>
          <w:bCs/>
          <w:sz w:val="28"/>
          <w:szCs w:val="28"/>
        </w:rPr>
        <w:t xml:space="preserve"> </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leftChars="0" w:firstLine="628" w:firstLineChars="200"/>
        <w:textAlignment w:val="auto"/>
        <w:rPr>
          <w:rFonts w:hint="eastAsia" w:ascii="黑体" w:hAnsi="黑体" w:eastAsia="黑体" w:cs="黑体"/>
          <w:b w:val="0"/>
          <w:bCs w:val="0"/>
          <w:sz w:val="32"/>
          <w:szCs w:val="32"/>
          <w:lang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leftChars="0" w:firstLine="628"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一、</w:t>
      </w:r>
      <w:r>
        <w:rPr>
          <w:rFonts w:hint="eastAsia" w:ascii="黑体" w:hAnsi="黑体" w:eastAsia="黑体" w:cs="黑体"/>
          <w:b w:val="0"/>
          <w:bCs w:val="0"/>
          <w:sz w:val="32"/>
          <w:szCs w:val="32"/>
        </w:rPr>
        <w:t>前言</w:t>
      </w:r>
    </w:p>
    <w:p>
      <w:pPr>
        <w:pageBreakBefore w:val="0"/>
        <w:widowControl w:val="0"/>
        <w:kinsoku/>
        <w:wordWrap/>
        <w:overflowPunct/>
        <w:topLinePunct w:val="0"/>
        <w:autoSpaceDE/>
        <w:autoSpaceDN/>
        <w:bidi w:val="0"/>
        <w:adjustRightInd/>
        <w:snapToGrid/>
        <w:spacing w:line="600" w:lineRule="exact"/>
        <w:ind w:left="0"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为建立健全我区噪声污染防治管理体系，进一步改善和提高声环境质量，依据《中华人民共和国噪声污染防治法》等有关法律、标准和规范要求，结合我区实际，制定本方案。</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leftChars="0" w:firstLine="628"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二、</w:t>
      </w:r>
      <w:r>
        <w:rPr>
          <w:rFonts w:hint="eastAsia" w:ascii="黑体" w:hAnsi="黑体" w:eastAsia="黑体" w:cs="黑体"/>
          <w:b w:val="0"/>
          <w:bCs w:val="0"/>
          <w:sz w:val="32"/>
          <w:szCs w:val="32"/>
        </w:rPr>
        <w:t>适用范围</w:t>
      </w:r>
    </w:p>
    <w:p>
      <w:pPr>
        <w:pageBreakBefore w:val="0"/>
        <w:widowControl w:val="0"/>
        <w:kinsoku/>
        <w:wordWrap/>
        <w:overflowPunct/>
        <w:topLinePunct w:val="0"/>
        <w:autoSpaceDE/>
        <w:autoSpaceDN/>
        <w:bidi w:val="0"/>
        <w:adjustRightInd/>
        <w:snapToGrid/>
        <w:spacing w:line="600" w:lineRule="exact"/>
        <w:ind w:left="0"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方案适用于福州市中心城区范围内的台江区辖区范围，四至范围为：东起江滨中大道东头九孔闸，沿光明港至晋安河中心线为界与晋安区一河之隔；西、南以闽江主航道中心线为界，与仓山区相望；北以琼东河、东西河、斗池路、上浦路中心线至金山大桥西侧桥下小岛北端至闽江航道中心线，与鼓楼区毗邻。总面积约17.09平方千米。</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leftChars="0" w:firstLine="628"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rPr>
        <w:t>划分依据</w:t>
      </w:r>
    </w:p>
    <w:p>
      <w:pPr>
        <w:pStyle w:val="12"/>
        <w:pageBreakBefore w:val="0"/>
        <w:widowControl w:val="0"/>
        <w:numPr>
          <w:ilvl w:val="0"/>
          <w:numId w:val="3"/>
        </w:numPr>
        <w:kinsoku/>
        <w:wordWrap/>
        <w:overflowPunct/>
        <w:topLinePunct w:val="0"/>
        <w:autoSpaceDE/>
        <w:autoSpaceDN/>
        <w:bidi w:val="0"/>
        <w:adjustRightInd/>
        <w:snapToGrid/>
        <w:spacing w:line="600" w:lineRule="exact"/>
        <w:ind w:left="0"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《中华人民共和国噪声污染防治法》</w:t>
      </w:r>
    </w:p>
    <w:p>
      <w:pPr>
        <w:pStyle w:val="12"/>
        <w:pageBreakBefore w:val="0"/>
        <w:widowControl w:val="0"/>
        <w:numPr>
          <w:ilvl w:val="0"/>
          <w:numId w:val="3"/>
        </w:numPr>
        <w:kinsoku/>
        <w:wordWrap/>
        <w:overflowPunct/>
        <w:topLinePunct w:val="0"/>
        <w:autoSpaceDE/>
        <w:autoSpaceDN/>
        <w:bidi w:val="0"/>
        <w:adjustRightInd/>
        <w:snapToGrid/>
        <w:spacing w:line="600" w:lineRule="exact"/>
        <w:ind w:left="0"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《“十四五”噪声污染防治行动计划》（环大气〔2023〕1号）</w:t>
      </w:r>
    </w:p>
    <w:p>
      <w:pPr>
        <w:pStyle w:val="12"/>
        <w:pageBreakBefore w:val="0"/>
        <w:widowControl w:val="0"/>
        <w:numPr>
          <w:ilvl w:val="0"/>
          <w:numId w:val="3"/>
        </w:numPr>
        <w:kinsoku/>
        <w:wordWrap/>
        <w:overflowPunct/>
        <w:topLinePunct w:val="0"/>
        <w:autoSpaceDE/>
        <w:autoSpaceDN/>
        <w:bidi w:val="0"/>
        <w:adjustRightInd/>
        <w:snapToGrid/>
        <w:spacing w:line="600" w:lineRule="exact"/>
        <w:ind w:left="0"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《声环境质量标准》（GB 3096-2008）</w:t>
      </w:r>
    </w:p>
    <w:p>
      <w:pPr>
        <w:pStyle w:val="12"/>
        <w:pageBreakBefore w:val="0"/>
        <w:widowControl w:val="0"/>
        <w:numPr>
          <w:ilvl w:val="0"/>
          <w:numId w:val="3"/>
        </w:numPr>
        <w:kinsoku/>
        <w:wordWrap/>
        <w:overflowPunct/>
        <w:topLinePunct w:val="0"/>
        <w:autoSpaceDE/>
        <w:autoSpaceDN/>
        <w:bidi w:val="0"/>
        <w:adjustRightInd/>
        <w:snapToGrid/>
        <w:spacing w:line="600" w:lineRule="exact"/>
        <w:ind w:left="0"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《声环境功能区划分技术规范》（GB/T 15190-2014）</w:t>
      </w:r>
    </w:p>
    <w:p>
      <w:pPr>
        <w:pStyle w:val="12"/>
        <w:pageBreakBefore w:val="0"/>
        <w:widowControl w:val="0"/>
        <w:numPr>
          <w:ilvl w:val="0"/>
          <w:numId w:val="3"/>
        </w:numPr>
        <w:kinsoku/>
        <w:wordWrap/>
        <w:overflowPunct/>
        <w:topLinePunct w:val="0"/>
        <w:autoSpaceDE/>
        <w:autoSpaceDN/>
        <w:bidi w:val="0"/>
        <w:adjustRightInd/>
        <w:snapToGrid/>
        <w:spacing w:line="600" w:lineRule="exact"/>
        <w:ind w:left="0"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《第三次全国国土调查技术规程》（TD/T 1055-2019）</w:t>
      </w:r>
    </w:p>
    <w:p>
      <w:pPr>
        <w:pStyle w:val="12"/>
        <w:pageBreakBefore w:val="0"/>
        <w:widowControl w:val="0"/>
        <w:numPr>
          <w:ilvl w:val="0"/>
          <w:numId w:val="3"/>
        </w:numPr>
        <w:kinsoku/>
        <w:wordWrap/>
        <w:overflowPunct/>
        <w:topLinePunct w:val="0"/>
        <w:autoSpaceDE/>
        <w:autoSpaceDN/>
        <w:bidi w:val="0"/>
        <w:adjustRightInd/>
        <w:snapToGrid/>
        <w:spacing w:line="600" w:lineRule="exact"/>
        <w:ind w:left="0"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《土地利用现状分类》（GB/T 21010-2017）</w:t>
      </w:r>
    </w:p>
    <w:p>
      <w:pPr>
        <w:pStyle w:val="12"/>
        <w:pageBreakBefore w:val="0"/>
        <w:widowControl w:val="0"/>
        <w:numPr>
          <w:ilvl w:val="0"/>
          <w:numId w:val="3"/>
        </w:numPr>
        <w:kinsoku/>
        <w:wordWrap/>
        <w:overflowPunct/>
        <w:topLinePunct w:val="0"/>
        <w:autoSpaceDE/>
        <w:autoSpaceDN/>
        <w:bidi w:val="0"/>
        <w:adjustRightInd/>
        <w:snapToGrid/>
        <w:spacing w:line="600" w:lineRule="exact"/>
        <w:ind w:left="0"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《福州市噪声敏感建筑物集中区域划定工作指南（试行）》</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leftChars="0" w:firstLine="628"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四、</w:t>
      </w:r>
      <w:r>
        <w:rPr>
          <w:rFonts w:hint="eastAsia" w:ascii="黑体" w:hAnsi="黑体" w:eastAsia="黑体" w:cs="黑体"/>
          <w:b w:val="0"/>
          <w:bCs w:val="0"/>
          <w:sz w:val="32"/>
          <w:szCs w:val="32"/>
        </w:rPr>
        <w:t>划分原则</w:t>
      </w:r>
    </w:p>
    <w:p>
      <w:pPr>
        <w:pageBreakBefore w:val="0"/>
        <w:widowControl w:val="0"/>
        <w:kinsoku/>
        <w:wordWrap/>
        <w:overflowPunct/>
        <w:topLinePunct w:val="0"/>
        <w:autoSpaceDE/>
        <w:autoSpaceDN/>
        <w:bidi w:val="0"/>
        <w:adjustRightInd/>
        <w:snapToGrid/>
        <w:spacing w:line="600" w:lineRule="exact"/>
        <w:ind w:left="0"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按照《中华人民共和国噪声污染防治法》第十四条的规定，噪声敏感区域是指用于居住、科学研究、医疗卫生、文化教育、机关团体办公、社会福利等建筑物为主的区域。本方案划分原则如下：</w:t>
      </w:r>
    </w:p>
    <w:p>
      <w:pPr>
        <w:pageBreakBefore w:val="0"/>
        <w:widowControl w:val="0"/>
        <w:kinsoku/>
        <w:wordWrap/>
        <w:overflowPunct/>
        <w:topLinePunct w:val="0"/>
        <w:autoSpaceDE/>
        <w:autoSpaceDN/>
        <w:bidi w:val="0"/>
        <w:adjustRightInd/>
        <w:snapToGrid/>
        <w:spacing w:line="600" w:lineRule="exact"/>
        <w:ind w:left="0" w:firstLine="628"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（1）现状优先。</w:t>
      </w:r>
      <w:r>
        <w:rPr>
          <w:rFonts w:hint="eastAsia" w:ascii="仿宋_GB2312" w:hAnsi="仿宋_GB2312" w:eastAsia="仿宋_GB2312" w:cs="仿宋_GB2312"/>
          <w:sz w:val="32"/>
          <w:szCs w:val="32"/>
        </w:rPr>
        <w:t>以用地、建筑物分类和分布现状为优先依据，结合国土空间规划和年度国土调查成果等确定噪声敏感建筑物集中区域。</w:t>
      </w:r>
    </w:p>
    <w:p>
      <w:pPr>
        <w:pageBreakBefore w:val="0"/>
        <w:widowControl w:val="0"/>
        <w:kinsoku/>
        <w:wordWrap/>
        <w:overflowPunct/>
        <w:topLinePunct w:val="0"/>
        <w:autoSpaceDE/>
        <w:autoSpaceDN/>
        <w:bidi w:val="0"/>
        <w:adjustRightInd/>
        <w:snapToGrid/>
        <w:spacing w:line="600" w:lineRule="exact"/>
        <w:ind w:left="0" w:firstLine="628"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（2）边界清晰。</w:t>
      </w:r>
      <w:r>
        <w:rPr>
          <w:rFonts w:hint="eastAsia" w:ascii="仿宋_GB2312" w:hAnsi="仿宋_GB2312" w:eastAsia="仿宋_GB2312" w:cs="仿宋_GB2312"/>
          <w:sz w:val="32"/>
          <w:szCs w:val="32"/>
        </w:rPr>
        <w:t>充分利用行政区边界、交通线路、地形边界等划分噪声敏感建筑物集中区域边界。</w:t>
      </w:r>
    </w:p>
    <w:p>
      <w:pPr>
        <w:pageBreakBefore w:val="0"/>
        <w:widowControl w:val="0"/>
        <w:kinsoku/>
        <w:wordWrap/>
        <w:overflowPunct/>
        <w:topLinePunct w:val="0"/>
        <w:autoSpaceDE/>
        <w:autoSpaceDN/>
        <w:bidi w:val="0"/>
        <w:adjustRightInd/>
        <w:snapToGrid/>
        <w:spacing w:line="600" w:lineRule="exact"/>
        <w:ind w:left="0" w:firstLine="628"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（3）便于管理。</w:t>
      </w:r>
      <w:r>
        <w:rPr>
          <w:rFonts w:hint="eastAsia" w:ascii="仿宋_GB2312" w:hAnsi="仿宋_GB2312" w:eastAsia="仿宋_GB2312" w:cs="仿宋_GB2312"/>
          <w:sz w:val="32"/>
          <w:szCs w:val="32"/>
        </w:rPr>
        <w:t>噪声敏感建筑物集中区域划定应</w:t>
      </w:r>
      <w:bookmarkStart w:id="0" w:name="_Hlk188433321"/>
      <w:bookmarkStart w:id="1" w:name="_Hlk188435079"/>
      <w:r>
        <w:rPr>
          <w:rFonts w:hint="eastAsia" w:ascii="仿宋_GB2312" w:hAnsi="仿宋_GB2312" w:eastAsia="仿宋_GB2312" w:cs="仿宋_GB2312"/>
          <w:sz w:val="32"/>
          <w:szCs w:val="32"/>
        </w:rPr>
        <w:t>便于城市噪声污染防治管理</w:t>
      </w:r>
      <w:bookmarkEnd w:id="0"/>
      <w:r>
        <w:rPr>
          <w:rFonts w:hint="eastAsia" w:ascii="仿宋_GB2312" w:hAnsi="仿宋_GB2312" w:eastAsia="仿宋_GB2312" w:cs="仿宋_GB2312"/>
          <w:sz w:val="32"/>
          <w:szCs w:val="32"/>
        </w:rPr>
        <w:t>。</w:t>
      </w:r>
    </w:p>
    <w:bookmarkEnd w:id="1"/>
    <w:p>
      <w:pPr>
        <w:pageBreakBefore w:val="0"/>
        <w:widowControl w:val="0"/>
        <w:kinsoku/>
        <w:wordWrap/>
        <w:overflowPunct/>
        <w:topLinePunct w:val="0"/>
        <w:autoSpaceDE/>
        <w:autoSpaceDN/>
        <w:bidi w:val="0"/>
        <w:adjustRightInd/>
        <w:snapToGrid/>
        <w:spacing w:line="600" w:lineRule="exact"/>
        <w:ind w:left="0" w:firstLine="628"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（4）适时调整。</w:t>
      </w:r>
      <w:r>
        <w:rPr>
          <w:rFonts w:hint="eastAsia" w:ascii="仿宋_GB2312" w:hAnsi="仿宋_GB2312" w:eastAsia="仿宋_GB2312" w:cs="仿宋_GB2312"/>
          <w:sz w:val="32"/>
          <w:szCs w:val="32"/>
        </w:rPr>
        <w:t>根据区域城建开发、建筑物实际使用功能调整等情况，适时进行噪声敏感建筑物集中区域调整。</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leftChars="0" w:firstLine="628"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五、</w:t>
      </w:r>
      <w:r>
        <w:rPr>
          <w:rFonts w:hint="eastAsia" w:ascii="黑体" w:hAnsi="黑体" w:eastAsia="黑体" w:cs="黑体"/>
          <w:b w:val="0"/>
          <w:bCs w:val="0"/>
          <w:sz w:val="32"/>
          <w:szCs w:val="32"/>
        </w:rPr>
        <w:t>划分结果</w:t>
      </w:r>
    </w:p>
    <w:p>
      <w:pPr>
        <w:pageBreakBefore w:val="0"/>
        <w:widowControl w:val="0"/>
        <w:kinsoku/>
        <w:wordWrap/>
        <w:overflowPunct/>
        <w:topLinePunct w:val="0"/>
        <w:autoSpaceDE/>
        <w:autoSpaceDN/>
        <w:bidi w:val="0"/>
        <w:adjustRightInd/>
        <w:snapToGrid/>
        <w:spacing w:line="600" w:lineRule="exact"/>
        <w:ind w:left="0"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按照《福州市噪声敏感建筑物集中区域划</w:t>
      </w:r>
      <w:bookmarkStart w:id="2" w:name="OLE_LINK1"/>
      <w:r>
        <w:rPr>
          <w:rFonts w:hint="eastAsia" w:ascii="仿宋_GB2312" w:hAnsi="仿宋_GB2312" w:eastAsia="仿宋_GB2312" w:cs="仿宋_GB2312"/>
          <w:sz w:val="32"/>
          <w:szCs w:val="32"/>
        </w:rPr>
        <w:t>定工作指南</w:t>
      </w:r>
      <w:bookmarkEnd w:id="2"/>
      <w:r>
        <w:rPr>
          <w:rFonts w:hint="eastAsia" w:ascii="仿宋_GB2312" w:hAnsi="仿宋_GB2312" w:eastAsia="仿宋_GB2312" w:cs="仿宋_GB2312"/>
          <w:sz w:val="32"/>
          <w:szCs w:val="32"/>
        </w:rPr>
        <w:t>（试行）》，福州市台江区共划定噪声敏感建筑物集中区域13个，划定总面积合计约11.5792km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，噪声敏感建筑物集中区域划定结果见附表、附图。</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leftChars="0" w:firstLine="628"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六、</w:t>
      </w:r>
      <w:r>
        <w:rPr>
          <w:rFonts w:hint="eastAsia" w:ascii="黑体" w:hAnsi="黑体" w:eastAsia="黑体" w:cs="黑体"/>
          <w:b w:val="0"/>
          <w:bCs w:val="0"/>
          <w:sz w:val="32"/>
          <w:szCs w:val="32"/>
        </w:rPr>
        <w:t>划分说明</w:t>
      </w:r>
    </w:p>
    <w:p>
      <w:pPr>
        <w:pageBreakBefore w:val="0"/>
        <w:widowControl w:val="0"/>
        <w:kinsoku/>
        <w:wordWrap/>
        <w:overflowPunct/>
        <w:topLinePunct w:val="0"/>
        <w:autoSpaceDE/>
        <w:autoSpaceDN/>
        <w:bidi w:val="0"/>
        <w:adjustRightInd/>
        <w:snapToGrid/>
        <w:spacing w:line="600" w:lineRule="exact"/>
        <w:ind w:left="0"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根据《福州市噪声敏感建筑物集中区域划定工作指南（试行）》，以下对划定方案中的特殊情况进行说明。</w:t>
      </w:r>
    </w:p>
    <w:p>
      <w:pPr>
        <w:keepNext w:val="0"/>
        <w:keepLines w:val="0"/>
        <w:pageBreakBefore w:val="0"/>
        <w:widowControl w:val="0"/>
        <w:kinsoku/>
        <w:wordWrap/>
        <w:overflowPunct/>
        <w:topLinePunct w:val="0"/>
        <w:autoSpaceDE/>
        <w:autoSpaceDN/>
        <w:bidi w:val="0"/>
        <w:adjustRightInd/>
        <w:snapToGrid/>
        <w:spacing w:line="600" w:lineRule="exact"/>
        <w:ind w:firstLine="628" w:firstLineChars="200"/>
        <w:textAlignment w:val="auto"/>
        <w:rPr>
          <w:rFonts w:ascii="宋体" w:hAnsi="宋体"/>
          <w:b/>
          <w:bCs/>
        </w:rPr>
      </w:pPr>
      <w:r>
        <w:rPr>
          <w:rFonts w:hint="eastAsia" w:ascii="仿宋_GB2312" w:hAnsi="仿宋_GB2312" w:eastAsia="仿宋_GB2312" w:cs="仿宋_GB2312"/>
          <w:b w:val="0"/>
          <w:bCs w:val="0"/>
        </w:rPr>
        <w:t>（1）以现状为准确定噪声敏感建筑物集中区域</w:t>
      </w:r>
    </w:p>
    <w:p>
      <w:pPr>
        <w:keepNext w:val="0"/>
        <w:keepLines w:val="0"/>
        <w:pageBreakBefore w:val="0"/>
        <w:widowControl w:val="0"/>
        <w:kinsoku/>
        <w:wordWrap/>
        <w:overflowPunct/>
        <w:topLinePunct w:val="0"/>
        <w:autoSpaceDE/>
        <w:autoSpaceDN/>
        <w:bidi w:val="0"/>
        <w:adjustRightInd/>
        <w:snapToGrid/>
        <w:spacing w:line="600" w:lineRule="exact"/>
        <w:ind w:firstLine="628" w:firstLineChars="200"/>
        <w:textAlignment w:val="auto"/>
        <w:rPr>
          <w:rFonts w:cs="Times New Roman"/>
          <w:highlight w:val="yellow"/>
        </w:rPr>
      </w:pPr>
      <w:r>
        <w:rPr>
          <w:rFonts w:hint="eastAsia" w:ascii="仿宋_GB2312" w:hAnsi="仿宋_GB2312" w:eastAsia="仿宋_GB2312" w:cs="仿宋_GB2312"/>
        </w:rPr>
        <w:t>部分区域用地性质与现状实际建筑物性质不符，经调查确定为噪声敏感建筑物的，划分为噪声敏感建筑物集中区域。如JZQ002内万科金域中央、国贸天琴湾地块现状为住宅楼，将其划入噪声敏感建筑物集中区域内；JZQ006上下杭文化休闲旅游景区内有较多居民居住，将其将其划入噪声敏感建筑物集中区域内；JZQ013地块内建筑物以办公、居住为主，将其划分为噪声敏感建筑物集中区域。</w:t>
      </w:r>
    </w:p>
    <w:tbl>
      <w:tblPr>
        <w:tblStyle w:val="7"/>
        <w:tblW w:w="8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1"/>
        <w:gridCol w:w="4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6" w:hRule="atLeast"/>
          <w:jc w:val="center"/>
        </w:trPr>
        <w:tc>
          <w:tcPr>
            <w:tcW w:w="4331" w:type="dxa"/>
            <w:noWrap w:val="0"/>
            <w:tcMar>
              <w:left w:w="0" w:type="dxa"/>
              <w:right w:w="0" w:type="dxa"/>
            </w:tcMar>
            <w:vAlign w:val="center"/>
          </w:tcPr>
          <w:p>
            <w:pPr>
              <w:spacing w:line="240" w:lineRule="auto"/>
              <w:ind w:firstLine="0" w:firstLineChars="0"/>
              <w:jc w:val="center"/>
              <w:rPr>
                <w:rFonts w:ascii="宋体" w:hAnsi="宋体" w:cs="Times New Roman"/>
                <w:sz w:val="21"/>
                <w:szCs w:val="21"/>
                <w:highlight w:val="yellow"/>
              </w:rPr>
            </w:pPr>
            <w:r>
              <w:rPr>
                <w:rFonts w:ascii="宋体" w:hAnsi="宋体" w:cs="Times New Roman"/>
              </w:rPr>
              <w:drawing>
                <wp:inline distT="0" distB="0" distL="114300" distR="114300">
                  <wp:extent cx="2528570" cy="1979295"/>
                  <wp:effectExtent l="0" t="0" r="5080" b="190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11"/>
                          <a:srcRect t="3307" b="6664"/>
                          <a:stretch>
                            <a:fillRect/>
                          </a:stretch>
                        </pic:blipFill>
                        <pic:spPr>
                          <a:xfrm>
                            <a:off x="0" y="0"/>
                            <a:ext cx="2528570" cy="1979295"/>
                          </a:xfrm>
                          <a:prstGeom prst="rect">
                            <a:avLst/>
                          </a:prstGeom>
                          <a:noFill/>
                          <a:ln>
                            <a:noFill/>
                          </a:ln>
                        </pic:spPr>
                      </pic:pic>
                    </a:graphicData>
                  </a:graphic>
                </wp:inline>
              </w:drawing>
            </w:r>
          </w:p>
        </w:tc>
        <w:tc>
          <w:tcPr>
            <w:tcW w:w="4128" w:type="dxa"/>
            <w:noWrap w:val="0"/>
            <w:tcMar>
              <w:left w:w="0" w:type="dxa"/>
              <w:right w:w="0" w:type="dxa"/>
            </w:tcMar>
            <w:vAlign w:val="center"/>
          </w:tcPr>
          <w:p>
            <w:pPr>
              <w:spacing w:line="240" w:lineRule="auto"/>
              <w:ind w:firstLine="0" w:firstLineChars="0"/>
              <w:jc w:val="center"/>
              <w:rPr>
                <w:rFonts w:ascii="宋体" w:hAnsi="宋体" w:cs="Times New Roman"/>
                <w:sz w:val="21"/>
                <w:szCs w:val="21"/>
                <w:highlight w:val="yellow"/>
              </w:rPr>
            </w:pPr>
            <w:r>
              <w:rPr>
                <w:rFonts w:ascii="宋体" w:hAnsi="宋体" w:cs="Times New Roman"/>
              </w:rPr>
              <w:drawing>
                <wp:inline distT="0" distB="0" distL="114300" distR="114300">
                  <wp:extent cx="2379980" cy="1966595"/>
                  <wp:effectExtent l="0" t="0" r="1270" b="1460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2"/>
                          <a:srcRect t="7362" r="5959" b="1974"/>
                          <a:stretch>
                            <a:fillRect/>
                          </a:stretch>
                        </pic:blipFill>
                        <pic:spPr>
                          <a:xfrm>
                            <a:off x="0" y="0"/>
                            <a:ext cx="2379980" cy="19665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4331"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both"/>
              <w:textAlignment w:val="auto"/>
              <w:rPr>
                <w:rFonts w:cs="Times New Roman"/>
                <w:sz w:val="32"/>
                <w:szCs w:val="32"/>
              </w:rPr>
            </w:pPr>
            <w:r>
              <w:rPr>
                <w:rFonts w:hint="eastAsia" w:ascii="仿宋_GB2312" w:hAnsi="仿宋_GB2312" w:eastAsia="仿宋_GB2312" w:cs="仿宋_GB2312"/>
                <w:sz w:val="32"/>
                <w:szCs w:val="32"/>
              </w:rPr>
              <w:t>万科金域中央、国贸天琴湾地块现状为住宅楼，将其划入噪声敏感建筑物集中区域。</w:t>
            </w:r>
          </w:p>
        </w:tc>
        <w:tc>
          <w:tcPr>
            <w:tcW w:w="4128"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both"/>
              <w:textAlignment w:val="auto"/>
              <w:rPr>
                <w:rFonts w:cs="Times New Roman"/>
                <w:sz w:val="32"/>
                <w:szCs w:val="32"/>
              </w:rPr>
            </w:pPr>
            <w:r>
              <w:rPr>
                <w:rFonts w:hint="eastAsia" w:ascii="仿宋_GB2312" w:hAnsi="仿宋_GB2312" w:eastAsia="仿宋_GB2312" w:cs="仿宋_GB2312"/>
                <w:sz w:val="32"/>
                <w:szCs w:val="32"/>
              </w:rPr>
              <w:t>JZQ013地块内建筑物以办公、居住为主，将其划分为噪声敏感建筑物集中区域。</w:t>
            </w:r>
          </w:p>
        </w:tc>
      </w:tr>
    </w:tbl>
    <w:p>
      <w:pPr>
        <w:keepNext w:val="0"/>
        <w:keepLines w:val="0"/>
        <w:pageBreakBefore w:val="0"/>
        <w:widowControl w:val="0"/>
        <w:kinsoku/>
        <w:wordWrap/>
        <w:overflowPunct/>
        <w:topLinePunct w:val="0"/>
        <w:autoSpaceDE/>
        <w:autoSpaceDN/>
        <w:bidi w:val="0"/>
        <w:adjustRightInd/>
        <w:snapToGrid/>
        <w:spacing w:line="600" w:lineRule="exact"/>
        <w:ind w:firstLine="628" w:firstLineChars="200"/>
        <w:textAlignment w:val="auto"/>
        <w:rPr>
          <w:rFonts w:hint="eastAsia" w:ascii="仿宋_GB2312" w:hAnsi="仿宋_GB2312" w:eastAsia="仿宋_GB2312" w:cs="仿宋_GB2312"/>
          <w:b w:val="0"/>
          <w:bCs w:val="0"/>
          <w:sz w:val="32"/>
          <w:szCs w:val="32"/>
          <w:highlight w:val="yellow"/>
        </w:rPr>
      </w:pPr>
      <w:r>
        <w:rPr>
          <w:rFonts w:hint="eastAsia" w:ascii="仿宋_GB2312" w:hAnsi="仿宋_GB2312" w:eastAsia="仿宋_GB2312" w:cs="仿宋_GB2312"/>
          <w:b w:val="0"/>
          <w:bCs w:val="0"/>
          <w:sz w:val="32"/>
          <w:szCs w:val="32"/>
        </w:rPr>
        <w:t>（2）跨主干道划定噪声敏感建筑物集中区域，便于噪声污染防治管理</w:t>
      </w:r>
    </w:p>
    <w:p>
      <w:pPr>
        <w:keepNext w:val="0"/>
        <w:keepLines w:val="0"/>
        <w:pageBreakBefore w:val="0"/>
        <w:widowControl w:val="0"/>
        <w:kinsoku/>
        <w:wordWrap/>
        <w:overflowPunct/>
        <w:topLinePunct w:val="0"/>
        <w:autoSpaceDE/>
        <w:autoSpaceDN/>
        <w:bidi w:val="0"/>
        <w:adjustRightInd/>
        <w:snapToGrid/>
        <w:spacing w:line="600" w:lineRule="exact"/>
        <w:ind w:firstLine="628" w:firstLineChars="200"/>
        <w:textAlignment w:val="auto"/>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台江区主要以居住、商业办公为主，噪声敏感建筑物较为集中、连片，在划定噪声敏感建筑物集中区域时，适当合并相邻的单元（原则上不跨越快速路、结构性主干道），以便于城市噪声污染防治管理。这类情况主要有JZQ005、JZQ006、JZQ008、JZQ009、JZQ011和JZQ012。</w:t>
      </w:r>
    </w:p>
    <w:p>
      <w:pPr>
        <w:pStyle w:val="2"/>
        <w:pageBreakBefore w:val="0"/>
        <w:widowControl w:val="0"/>
        <w:numPr>
          <w:ilvl w:val="0"/>
          <w:numId w:val="0"/>
        </w:numPr>
        <w:kinsoku/>
        <w:wordWrap/>
        <w:overflowPunct/>
        <w:topLinePunct w:val="0"/>
        <w:autoSpaceDE/>
        <w:autoSpaceDN/>
        <w:bidi w:val="0"/>
        <w:adjustRightInd/>
        <w:snapToGrid/>
        <w:spacing w:before="0" w:after="0" w:line="600" w:lineRule="exact"/>
        <w:ind w:leftChars="0" w:firstLine="628" w:firstLineChars="200"/>
        <w:textAlignment w:val="auto"/>
        <w:rPr>
          <w:rFonts w:hint="eastAsia" w:ascii="黑体" w:hAnsi="黑体" w:eastAsia="黑体" w:cs="黑体"/>
          <w:b w:val="0"/>
          <w:bCs w:val="0"/>
          <w:sz w:val="32"/>
          <w:szCs w:val="32"/>
        </w:rPr>
      </w:pPr>
      <w:r>
        <w:rPr>
          <w:rFonts w:hint="eastAsia" w:ascii="黑体" w:hAnsi="黑体" w:cs="黑体"/>
          <w:b w:val="0"/>
          <w:bCs w:val="0"/>
          <w:sz w:val="32"/>
          <w:szCs w:val="32"/>
          <w:lang w:eastAsia="zh-CN"/>
        </w:rPr>
        <w:t>七、</w:t>
      </w:r>
      <w:r>
        <w:rPr>
          <w:rFonts w:hint="eastAsia" w:ascii="黑体" w:hAnsi="黑体" w:eastAsia="黑体" w:cs="黑体"/>
          <w:b w:val="0"/>
          <w:bCs w:val="0"/>
          <w:sz w:val="32"/>
          <w:szCs w:val="32"/>
        </w:rPr>
        <w:t>管理规定</w:t>
      </w:r>
    </w:p>
    <w:p>
      <w:pPr>
        <w:pageBreakBefore w:val="0"/>
        <w:widowControl w:val="0"/>
        <w:kinsoku/>
        <w:wordWrap/>
        <w:overflowPunct/>
        <w:topLinePunct w:val="0"/>
        <w:autoSpaceDE/>
        <w:autoSpaceDN/>
        <w:bidi w:val="0"/>
        <w:adjustRightInd/>
        <w:snapToGrid/>
        <w:spacing w:line="600" w:lineRule="exact"/>
        <w:ind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噪声敏感建筑物集中区域的管理按照《中华人民共和国噪声污染防治法》第十四条、第三十五条、第四十一条、第四十二条、第四十三条、第四十五条、第四十六条、第六十四条、第七十条、第七十四条、第七十七条、第七十八条、第八十二条、第八十八条的规定执行。</w:t>
      </w:r>
    </w:p>
    <w:p>
      <w:pPr>
        <w:pageBreakBefore w:val="0"/>
        <w:widowControl w:val="0"/>
        <w:kinsoku/>
        <w:wordWrap/>
        <w:overflowPunct/>
        <w:topLinePunct w:val="0"/>
        <w:autoSpaceDE/>
        <w:autoSpaceDN/>
        <w:bidi w:val="0"/>
        <w:adjustRightInd/>
        <w:snapToGrid/>
        <w:spacing w:line="600" w:lineRule="exact"/>
        <w:ind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（2）噪声敏感建筑物集中区域的噪声污染防治职责分工按照《福州市人民政府办公厅关于进一步明确〈中华人民共和国噪声污染防治法〉部分条款部门职责分工的通知》执行。</w:t>
      </w:r>
    </w:p>
    <w:p>
      <w:pPr>
        <w:pageBreakBefore w:val="0"/>
        <w:widowControl w:val="0"/>
        <w:kinsoku/>
        <w:wordWrap/>
        <w:overflowPunct/>
        <w:topLinePunct w:val="0"/>
        <w:autoSpaceDE/>
        <w:autoSpaceDN/>
        <w:bidi w:val="0"/>
        <w:adjustRightInd/>
        <w:snapToGrid/>
        <w:spacing w:line="600" w:lineRule="exact"/>
        <w:ind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（3）若因建筑物属性、用地性质或规划发生根本变化，可实施动态修编，原则上不超过5年调整一次，调整程序参照划分方法执行。</w:t>
      </w:r>
    </w:p>
    <w:p>
      <w:pPr>
        <w:pageBreakBefore w:val="0"/>
        <w:widowControl w:val="0"/>
        <w:kinsoku/>
        <w:wordWrap/>
        <w:overflowPunct/>
        <w:topLinePunct w:val="0"/>
        <w:autoSpaceDE/>
        <w:autoSpaceDN/>
        <w:bidi w:val="0"/>
        <w:adjustRightInd/>
        <w:snapToGrid/>
        <w:spacing w:line="600" w:lineRule="exact"/>
        <w:ind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（4）本方案未尽事宜，根据有关法律法规和规章等相关规定执行。</w:t>
      </w:r>
    </w:p>
    <w:p>
      <w:pPr>
        <w:spacing w:line="600" w:lineRule="exact"/>
        <w:ind w:firstLine="616"/>
        <w:rPr>
          <w:rFonts w:hint="eastAsia" w:ascii="仿宋_GB2312" w:hAnsi="仿宋_GB2312" w:eastAsia="仿宋_GB2312" w:cs="仿宋_GB2312"/>
          <w:b w:val="0"/>
          <w:bCs w:val="0"/>
          <w:sz w:val="32"/>
          <w:szCs w:val="32"/>
          <w:lang w:eastAsia="zh-CN"/>
        </w:rPr>
      </w:pPr>
      <w:r>
        <w:rPr>
          <w:rFonts w:hint="eastAsia" w:ascii="黑体" w:hAnsi="黑体" w:eastAsia="黑体" w:cs="黑体"/>
          <w:b w:val="0"/>
          <w:bCs w:val="0"/>
          <w:sz w:val="32"/>
          <w:szCs w:val="32"/>
          <w:lang w:eastAsia="zh-CN"/>
        </w:rPr>
        <w:t>《</w:t>
      </w:r>
      <w:r>
        <w:rPr>
          <w:rFonts w:hint="eastAsia" w:ascii="仿宋_GB2312" w:hAnsi="仿宋_GB2312" w:eastAsia="仿宋_GB2312" w:cs="仿宋_GB2312"/>
          <w:b w:val="0"/>
          <w:bCs w:val="0"/>
          <w:sz w:val="32"/>
          <w:szCs w:val="32"/>
          <w:lang w:eastAsia="zh-CN"/>
        </w:rPr>
        <w:t>划定方案》及所有附件统一由台江区人民政府办公室负责解释。本通知自发布之日起实施，有效期至2030年6月20日</w:t>
      </w:r>
      <w:r>
        <w:rPr>
          <w:rFonts w:hint="eastAsia" w:ascii="仿宋_GB2312" w:hAnsi="仿宋_GB2312" w:cs="仿宋_GB2312"/>
          <w:b w:val="0"/>
          <w:bCs w:val="0"/>
          <w:sz w:val="32"/>
          <w:szCs w:val="32"/>
          <w:lang w:eastAsia="zh-CN"/>
        </w:rPr>
        <w:t>。</w:t>
      </w:r>
    </w:p>
    <w:p>
      <w:pPr>
        <w:pStyle w:val="2"/>
        <w:pageBreakBefore w:val="0"/>
        <w:widowControl w:val="0"/>
        <w:numPr>
          <w:ilvl w:val="0"/>
          <w:numId w:val="0"/>
        </w:numPr>
        <w:kinsoku/>
        <w:wordWrap/>
        <w:overflowPunct/>
        <w:topLinePunct w:val="0"/>
        <w:autoSpaceDE/>
        <w:autoSpaceDN/>
        <w:bidi w:val="0"/>
        <w:adjustRightInd/>
        <w:snapToGrid/>
        <w:spacing w:before="0" w:after="0" w:line="600" w:lineRule="exact"/>
        <w:ind w:leftChars="0" w:firstLine="628" w:firstLineChars="200"/>
        <w:textAlignment w:val="auto"/>
        <w:rPr>
          <w:rFonts w:hint="eastAsia" w:ascii="仿宋_GB2312" w:hAnsi="仿宋_GB2312" w:eastAsia="仿宋_GB2312" w:cs="仿宋_GB2312"/>
          <w:b w:val="0"/>
          <w:bCs w:val="0"/>
          <w:sz w:val="32"/>
          <w:szCs w:val="32"/>
          <w:lang w:eastAsia="zh-CN"/>
        </w:rPr>
      </w:pPr>
    </w:p>
    <w:p>
      <w:pPr>
        <w:pStyle w:val="2"/>
        <w:pageBreakBefore w:val="0"/>
        <w:widowControl w:val="0"/>
        <w:numPr>
          <w:ilvl w:val="0"/>
          <w:numId w:val="0"/>
        </w:numPr>
        <w:kinsoku/>
        <w:wordWrap/>
        <w:overflowPunct/>
        <w:topLinePunct w:val="0"/>
        <w:autoSpaceDE/>
        <w:autoSpaceDN/>
        <w:bidi w:val="0"/>
        <w:adjustRightInd/>
        <w:snapToGrid/>
        <w:spacing w:before="0" w:after="0" w:line="600" w:lineRule="exact"/>
        <w:ind w:leftChars="0" w:firstLine="628"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附件：</w:t>
      </w:r>
    </w:p>
    <w:p>
      <w:pPr>
        <w:pageBreakBefore w:val="0"/>
        <w:widowControl w:val="0"/>
        <w:kinsoku/>
        <w:wordWrap/>
        <w:overflowPunct/>
        <w:topLinePunct w:val="0"/>
        <w:autoSpaceDE/>
        <w:autoSpaceDN/>
        <w:bidi w:val="0"/>
        <w:adjustRightInd/>
        <w:snapToGrid/>
        <w:spacing w:line="600" w:lineRule="exact"/>
        <w:ind w:firstLine="628" w:firstLineChars="2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 xml:space="preserve">     1.</w:t>
      </w:r>
      <w:r>
        <w:rPr>
          <w:rFonts w:hint="eastAsia" w:ascii="仿宋_GB2312" w:hAnsi="仿宋_GB2312" w:eastAsia="仿宋_GB2312" w:cs="仿宋_GB2312"/>
          <w:spacing w:val="-11"/>
          <w:w w:val="97"/>
          <w:sz w:val="32"/>
          <w:szCs w:val="32"/>
        </w:rPr>
        <w:t>福州市台江区噪声敏感建筑物集中区域划定成果清单</w:t>
      </w:r>
    </w:p>
    <w:p>
      <w:pPr>
        <w:pageBreakBefore w:val="0"/>
        <w:widowControl w:val="0"/>
        <w:kinsoku/>
        <w:wordWrap/>
        <w:overflowPunct/>
        <w:topLinePunct w:val="0"/>
        <w:autoSpaceDE/>
        <w:autoSpaceDN/>
        <w:bidi w:val="0"/>
        <w:adjustRightInd/>
        <w:snapToGrid/>
        <w:spacing w:line="600" w:lineRule="exact"/>
        <w:ind w:firstLine="628" w:firstLineChars="2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 xml:space="preserve">     2.</w:t>
      </w:r>
      <w:r>
        <w:rPr>
          <w:rFonts w:hint="eastAsia" w:ascii="仿宋_GB2312" w:hAnsi="仿宋_GB2312" w:eastAsia="仿宋_GB2312" w:cs="仿宋_GB2312"/>
          <w:sz w:val="32"/>
          <w:szCs w:val="32"/>
        </w:rPr>
        <w:t>台江噪声敏感建筑物集中区域分布图</w:t>
      </w:r>
    </w:p>
    <w:p>
      <w:pPr>
        <w:pStyle w:val="2"/>
        <w:numPr>
          <w:ilvl w:val="0"/>
          <w:numId w:val="0"/>
        </w:numPr>
        <w:ind w:leftChars="0"/>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sectPr>
          <w:footerReference r:id="rId8" w:type="default"/>
          <w:footerReference r:id="rId9" w:type="even"/>
          <w:pgSz w:w="11906" w:h="16838"/>
          <w:pgMar w:top="2098" w:right="1417" w:bottom="1587" w:left="1588" w:header="851" w:footer="1049" w:gutter="0"/>
          <w:paperSrc/>
          <w:cols w:space="720" w:num="1"/>
          <w:rtlGutter w:val="0"/>
          <w:docGrid w:type="linesAndChars" w:linePitch="590" w:charSpace="1229"/>
        </w:sect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附</w:t>
      </w:r>
      <w:r>
        <w:rPr>
          <w:rFonts w:hint="eastAsia" w:ascii="仿宋_GB2312" w:hAnsi="仿宋_GB2312" w:eastAsia="仿宋_GB2312" w:cs="仿宋_GB2312"/>
          <w:b w:val="0"/>
          <w:bCs w:val="0"/>
          <w:sz w:val="32"/>
          <w:szCs w:val="32"/>
          <w:lang w:eastAsia="zh-CN"/>
        </w:rPr>
        <w:t>件</w:t>
      </w:r>
      <w:r>
        <w:rPr>
          <w:rFonts w:hint="eastAsia" w:ascii="仿宋_GB2312" w:hAnsi="仿宋_GB2312" w:eastAsia="仿宋_GB2312" w:cs="仿宋_GB2312"/>
          <w:b w:val="0"/>
          <w:bCs w:val="0"/>
          <w:sz w:val="32"/>
          <w:szCs w:val="32"/>
          <w:lang w:val="en-US" w:eastAsia="zh-CN"/>
        </w:rPr>
        <w:t>1</w:t>
      </w:r>
    </w:p>
    <w:p>
      <w:pPr>
        <w:rPr>
          <w:rFonts w:hint="eastAsia"/>
        </w:rPr>
      </w:pPr>
    </w:p>
    <w:p>
      <w:pPr>
        <w:ind w:firstLine="0" w:firstLineChars="0"/>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福州市台江区噪声敏感建筑物集中区域划定成果清单</w:t>
      </w:r>
    </w:p>
    <w:tbl>
      <w:tblPr>
        <w:tblStyle w:val="6"/>
        <w:tblW w:w="14869" w:type="dxa"/>
        <w:jc w:val="center"/>
        <w:tblLayout w:type="fixed"/>
        <w:tblCellMar>
          <w:top w:w="0" w:type="dxa"/>
          <w:left w:w="108" w:type="dxa"/>
          <w:bottom w:w="0" w:type="dxa"/>
          <w:right w:w="108" w:type="dxa"/>
        </w:tblCellMar>
      </w:tblPr>
      <w:tblGrid>
        <w:gridCol w:w="1271"/>
        <w:gridCol w:w="3074"/>
        <w:gridCol w:w="8783"/>
        <w:gridCol w:w="1741"/>
      </w:tblGrid>
      <w:tr>
        <w:tblPrEx>
          <w:tblCellMar>
            <w:top w:w="0" w:type="dxa"/>
            <w:left w:w="108" w:type="dxa"/>
            <w:bottom w:w="0" w:type="dxa"/>
            <w:right w:w="108" w:type="dxa"/>
          </w:tblCellMar>
        </w:tblPrEx>
        <w:trPr>
          <w:trHeight w:val="643" w:hRule="atLeast"/>
          <w:jc w:val="center"/>
        </w:trPr>
        <w:tc>
          <w:tcPr>
            <w:tcW w:w="1271" w:type="dxa"/>
            <w:tcBorders>
              <w:top w:val="single" w:color="auto" w:sz="4" w:space="0"/>
              <w:left w:val="single" w:color="auto" w:sz="4" w:space="0"/>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集中区域编号</w:t>
            </w:r>
          </w:p>
        </w:tc>
        <w:tc>
          <w:tcPr>
            <w:tcW w:w="3074" w:type="dxa"/>
            <w:tcBorders>
              <w:top w:val="single" w:color="auto" w:sz="4" w:space="0"/>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集中区域名称</w:t>
            </w:r>
          </w:p>
        </w:tc>
        <w:tc>
          <w:tcPr>
            <w:tcW w:w="8783" w:type="dxa"/>
            <w:tcBorders>
              <w:top w:val="single" w:color="auto" w:sz="4" w:space="0"/>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集中区域边界</w:t>
            </w:r>
          </w:p>
        </w:tc>
        <w:tc>
          <w:tcPr>
            <w:tcW w:w="1741" w:type="dxa"/>
            <w:tcBorders>
              <w:top w:val="single" w:color="auto" w:sz="4" w:space="0"/>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集中区域面积（km</w:t>
            </w:r>
            <w:r>
              <w:rPr>
                <w:rFonts w:hint="eastAsia" w:ascii="仿宋_GB2312" w:hAnsi="仿宋_GB2312" w:eastAsia="仿宋_GB2312" w:cs="仿宋_GB2312"/>
                <w:b/>
                <w:bCs/>
                <w:kern w:val="0"/>
                <w:sz w:val="32"/>
                <w:szCs w:val="32"/>
                <w:vertAlign w:val="superscript"/>
              </w:rPr>
              <w:t>2</w:t>
            </w:r>
            <w:r>
              <w:rPr>
                <w:rFonts w:hint="eastAsia" w:ascii="仿宋_GB2312" w:hAnsi="仿宋_GB2312" w:eastAsia="仿宋_GB2312" w:cs="仿宋_GB2312"/>
                <w:b/>
                <w:bCs/>
                <w:kern w:val="0"/>
                <w:sz w:val="32"/>
                <w:szCs w:val="32"/>
              </w:rPr>
              <w:t>）</w:t>
            </w:r>
          </w:p>
        </w:tc>
      </w:tr>
      <w:tr>
        <w:tblPrEx>
          <w:tblCellMar>
            <w:top w:w="0" w:type="dxa"/>
            <w:left w:w="108" w:type="dxa"/>
            <w:bottom w:w="0" w:type="dxa"/>
            <w:right w:w="108" w:type="dxa"/>
          </w:tblCellMar>
        </w:tblPrEx>
        <w:trPr>
          <w:trHeight w:val="456" w:hRule="atLeast"/>
          <w:jc w:val="center"/>
        </w:trPr>
        <w:tc>
          <w:tcPr>
            <w:tcW w:w="1271" w:type="dxa"/>
            <w:tcBorders>
              <w:top w:val="nil"/>
              <w:left w:val="single" w:color="auto" w:sz="4" w:space="0"/>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JZQ001</w:t>
            </w:r>
          </w:p>
        </w:tc>
        <w:tc>
          <w:tcPr>
            <w:tcW w:w="3074"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中利佳园区域</w:t>
            </w:r>
          </w:p>
        </w:tc>
        <w:tc>
          <w:tcPr>
            <w:tcW w:w="8783"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工业路→斗池路→西二环中路</w:t>
            </w:r>
          </w:p>
        </w:tc>
        <w:tc>
          <w:tcPr>
            <w:tcW w:w="1741" w:type="dxa"/>
            <w:tcBorders>
              <w:top w:val="nil"/>
              <w:left w:val="nil"/>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0.2770 </w:t>
            </w:r>
          </w:p>
        </w:tc>
      </w:tr>
      <w:tr>
        <w:tblPrEx>
          <w:tblCellMar>
            <w:top w:w="0" w:type="dxa"/>
            <w:left w:w="108" w:type="dxa"/>
            <w:bottom w:w="0" w:type="dxa"/>
            <w:right w:w="108" w:type="dxa"/>
          </w:tblCellMar>
        </w:tblPrEx>
        <w:trPr>
          <w:trHeight w:val="823" w:hRule="atLeast"/>
          <w:jc w:val="center"/>
        </w:trPr>
        <w:tc>
          <w:tcPr>
            <w:tcW w:w="1271" w:type="dxa"/>
            <w:tcBorders>
              <w:top w:val="nil"/>
              <w:left w:val="single" w:color="auto" w:sz="4" w:space="0"/>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JZQ002</w:t>
            </w:r>
          </w:p>
        </w:tc>
        <w:tc>
          <w:tcPr>
            <w:tcW w:w="3074"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锦翔佳园区域</w:t>
            </w:r>
          </w:p>
        </w:tc>
        <w:tc>
          <w:tcPr>
            <w:tcW w:w="8783"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江滨西大道→福州市图书馆北侧、西侧边界→台江区教师进修学校附属第一小学西侧边界→长汀街→长汀外街→长汀街→祥坂街→小凤巷→上浦路→工业路→西二环中路</w:t>
            </w:r>
          </w:p>
        </w:tc>
        <w:tc>
          <w:tcPr>
            <w:tcW w:w="1741" w:type="dxa"/>
            <w:tcBorders>
              <w:top w:val="nil"/>
              <w:left w:val="nil"/>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0.6188 </w:t>
            </w:r>
          </w:p>
        </w:tc>
      </w:tr>
      <w:tr>
        <w:tblPrEx>
          <w:tblCellMar>
            <w:top w:w="0" w:type="dxa"/>
            <w:left w:w="108" w:type="dxa"/>
            <w:bottom w:w="0" w:type="dxa"/>
            <w:right w:w="108" w:type="dxa"/>
          </w:tblCellMar>
        </w:tblPrEx>
        <w:trPr>
          <w:trHeight w:val="456" w:hRule="atLeast"/>
          <w:jc w:val="center"/>
        </w:trPr>
        <w:tc>
          <w:tcPr>
            <w:tcW w:w="1271" w:type="dxa"/>
            <w:tcBorders>
              <w:top w:val="nil"/>
              <w:left w:val="single" w:color="auto" w:sz="4" w:space="0"/>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JZQ003</w:t>
            </w:r>
          </w:p>
        </w:tc>
        <w:tc>
          <w:tcPr>
            <w:tcW w:w="3074"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highlight w:val="yellow"/>
              </w:rPr>
            </w:pPr>
            <w:r>
              <w:rPr>
                <w:rFonts w:hint="eastAsia" w:ascii="仿宋_GB2312" w:hAnsi="仿宋_GB2312" w:eastAsia="仿宋_GB2312" w:cs="仿宋_GB2312"/>
                <w:kern w:val="0"/>
                <w:sz w:val="32"/>
                <w:szCs w:val="32"/>
              </w:rPr>
              <w:t>万象社区区域</w:t>
            </w:r>
          </w:p>
        </w:tc>
        <w:tc>
          <w:tcPr>
            <w:tcW w:w="8783"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工业路→白马中路→斗池路→西二环中路</w:t>
            </w:r>
          </w:p>
        </w:tc>
        <w:tc>
          <w:tcPr>
            <w:tcW w:w="1741" w:type="dxa"/>
            <w:tcBorders>
              <w:top w:val="single" w:color="auto" w:sz="4" w:space="0"/>
              <w:left w:val="nil"/>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0.3297 </w:t>
            </w:r>
          </w:p>
        </w:tc>
      </w:tr>
      <w:tr>
        <w:tblPrEx>
          <w:tblCellMar>
            <w:top w:w="0" w:type="dxa"/>
            <w:left w:w="108" w:type="dxa"/>
            <w:bottom w:w="0" w:type="dxa"/>
            <w:right w:w="108" w:type="dxa"/>
          </w:tblCellMar>
        </w:tblPrEx>
        <w:trPr>
          <w:trHeight w:val="456" w:hRule="atLeast"/>
          <w:jc w:val="center"/>
        </w:trPr>
        <w:tc>
          <w:tcPr>
            <w:tcW w:w="1271" w:type="dxa"/>
            <w:tcBorders>
              <w:top w:val="nil"/>
              <w:left w:val="single" w:color="auto" w:sz="4" w:space="0"/>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JZQ004</w:t>
            </w:r>
          </w:p>
        </w:tc>
        <w:tc>
          <w:tcPr>
            <w:tcW w:w="3074"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highlight w:val="yellow"/>
              </w:rPr>
            </w:pPr>
            <w:r>
              <w:rPr>
                <w:rFonts w:hint="eastAsia" w:ascii="仿宋_GB2312" w:hAnsi="仿宋_GB2312" w:eastAsia="仿宋_GB2312" w:cs="仿宋_GB2312"/>
                <w:kern w:val="0"/>
                <w:sz w:val="32"/>
                <w:szCs w:val="32"/>
              </w:rPr>
              <w:t>福州华侨中学区域</w:t>
            </w:r>
          </w:p>
        </w:tc>
        <w:tc>
          <w:tcPr>
            <w:tcW w:w="8783"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江滨西大道→白马南路→工业路→西二环南路及匝道</w:t>
            </w:r>
          </w:p>
        </w:tc>
        <w:tc>
          <w:tcPr>
            <w:tcW w:w="1741" w:type="dxa"/>
            <w:tcBorders>
              <w:top w:val="nil"/>
              <w:left w:val="nil"/>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1.2422 </w:t>
            </w:r>
          </w:p>
        </w:tc>
      </w:tr>
      <w:tr>
        <w:tblPrEx>
          <w:tblCellMar>
            <w:top w:w="0" w:type="dxa"/>
            <w:left w:w="108" w:type="dxa"/>
            <w:bottom w:w="0" w:type="dxa"/>
            <w:right w:w="108" w:type="dxa"/>
          </w:tblCellMar>
        </w:tblPrEx>
        <w:trPr>
          <w:trHeight w:val="456" w:hRule="atLeast"/>
          <w:jc w:val="center"/>
        </w:trPr>
        <w:tc>
          <w:tcPr>
            <w:tcW w:w="1271" w:type="dxa"/>
            <w:tcBorders>
              <w:top w:val="nil"/>
              <w:left w:val="single" w:color="auto" w:sz="4" w:space="0"/>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JZQ005</w:t>
            </w:r>
          </w:p>
        </w:tc>
        <w:tc>
          <w:tcPr>
            <w:tcW w:w="3074"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福建医科大学</w:t>
            </w:r>
          </w:p>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台江校区区域</w:t>
            </w:r>
          </w:p>
        </w:tc>
        <w:tc>
          <w:tcPr>
            <w:tcW w:w="8783"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工业路西→国货西路→六一中路→琼东河→东西河→白马中路</w:t>
            </w:r>
          </w:p>
        </w:tc>
        <w:tc>
          <w:tcPr>
            <w:tcW w:w="1741" w:type="dxa"/>
            <w:tcBorders>
              <w:top w:val="nil"/>
              <w:left w:val="nil"/>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2.3106 </w:t>
            </w:r>
          </w:p>
        </w:tc>
      </w:tr>
      <w:tr>
        <w:tblPrEx>
          <w:tblCellMar>
            <w:top w:w="0" w:type="dxa"/>
            <w:left w:w="108" w:type="dxa"/>
            <w:bottom w:w="0" w:type="dxa"/>
            <w:right w:w="108" w:type="dxa"/>
          </w:tblCellMar>
        </w:tblPrEx>
        <w:trPr>
          <w:trHeight w:val="456" w:hRule="atLeast"/>
          <w:jc w:val="center"/>
        </w:trPr>
        <w:tc>
          <w:tcPr>
            <w:tcW w:w="1271" w:type="dxa"/>
            <w:tcBorders>
              <w:top w:val="nil"/>
              <w:left w:val="single" w:color="auto" w:sz="4" w:space="0"/>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JZQ006</w:t>
            </w:r>
          </w:p>
        </w:tc>
        <w:tc>
          <w:tcPr>
            <w:tcW w:w="3074"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上下杭区域</w:t>
            </w:r>
          </w:p>
        </w:tc>
        <w:tc>
          <w:tcPr>
            <w:tcW w:w="8783"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台江路→六一中路→达道河→南公小学东侧道路→国货西路→白马南路</w:t>
            </w:r>
          </w:p>
        </w:tc>
        <w:tc>
          <w:tcPr>
            <w:tcW w:w="1741" w:type="dxa"/>
            <w:tcBorders>
              <w:top w:val="nil"/>
              <w:left w:val="nil"/>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2.9767 </w:t>
            </w:r>
          </w:p>
        </w:tc>
      </w:tr>
      <w:tr>
        <w:tblPrEx>
          <w:tblCellMar>
            <w:top w:w="0" w:type="dxa"/>
            <w:left w:w="108" w:type="dxa"/>
            <w:bottom w:w="0" w:type="dxa"/>
            <w:right w:w="108" w:type="dxa"/>
          </w:tblCellMar>
        </w:tblPrEx>
        <w:trPr>
          <w:trHeight w:val="661" w:hRule="atLeast"/>
          <w:jc w:val="center"/>
        </w:trPr>
        <w:tc>
          <w:tcPr>
            <w:tcW w:w="1271" w:type="dxa"/>
            <w:tcBorders>
              <w:top w:val="nil"/>
              <w:left w:val="single" w:color="auto" w:sz="4" w:space="0"/>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JZQ007</w:t>
            </w:r>
          </w:p>
        </w:tc>
        <w:tc>
          <w:tcPr>
            <w:tcW w:w="3074"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融侨国际公馆区域</w:t>
            </w:r>
          </w:p>
        </w:tc>
        <w:tc>
          <w:tcPr>
            <w:tcW w:w="8783"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国货东路→晋安河→琼东河→六一中路</w:t>
            </w:r>
          </w:p>
        </w:tc>
        <w:tc>
          <w:tcPr>
            <w:tcW w:w="1741" w:type="dxa"/>
            <w:tcBorders>
              <w:top w:val="nil"/>
              <w:left w:val="nil"/>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0.1170 </w:t>
            </w:r>
          </w:p>
        </w:tc>
      </w:tr>
      <w:tr>
        <w:tblPrEx>
          <w:tblCellMar>
            <w:top w:w="0" w:type="dxa"/>
            <w:left w:w="108" w:type="dxa"/>
            <w:bottom w:w="0" w:type="dxa"/>
            <w:right w:w="108" w:type="dxa"/>
          </w:tblCellMar>
        </w:tblPrEx>
        <w:trPr>
          <w:trHeight w:val="456" w:hRule="atLeast"/>
          <w:jc w:val="center"/>
        </w:trPr>
        <w:tc>
          <w:tcPr>
            <w:tcW w:w="1271" w:type="dxa"/>
            <w:tcBorders>
              <w:top w:val="nil"/>
              <w:left w:val="single" w:color="auto" w:sz="4" w:space="0"/>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JZQ008</w:t>
            </w:r>
          </w:p>
        </w:tc>
        <w:tc>
          <w:tcPr>
            <w:tcW w:w="3074"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万科澜悦、阳光城</w:t>
            </w:r>
          </w:p>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悠澜郡区域</w:t>
            </w:r>
          </w:p>
        </w:tc>
        <w:tc>
          <w:tcPr>
            <w:tcW w:w="8783"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排尾路→连江中路→南光明港路→晋安河→国货东路→六一中路</w:t>
            </w:r>
          </w:p>
        </w:tc>
        <w:tc>
          <w:tcPr>
            <w:tcW w:w="1741" w:type="dxa"/>
            <w:tcBorders>
              <w:top w:val="nil"/>
              <w:left w:val="nil"/>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0.8537 </w:t>
            </w:r>
          </w:p>
        </w:tc>
      </w:tr>
      <w:tr>
        <w:tblPrEx>
          <w:tblCellMar>
            <w:top w:w="0" w:type="dxa"/>
            <w:left w:w="108" w:type="dxa"/>
            <w:bottom w:w="0" w:type="dxa"/>
            <w:right w:w="108" w:type="dxa"/>
          </w:tblCellMar>
        </w:tblPrEx>
        <w:trPr>
          <w:trHeight w:val="456" w:hRule="atLeast"/>
          <w:jc w:val="center"/>
        </w:trPr>
        <w:tc>
          <w:tcPr>
            <w:tcW w:w="1271" w:type="dxa"/>
            <w:tcBorders>
              <w:top w:val="nil"/>
              <w:left w:val="single" w:color="auto" w:sz="4" w:space="0"/>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JZQ009</w:t>
            </w:r>
          </w:p>
        </w:tc>
        <w:tc>
          <w:tcPr>
            <w:tcW w:w="3074"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世贸外滩花园区域</w:t>
            </w:r>
          </w:p>
        </w:tc>
        <w:tc>
          <w:tcPr>
            <w:tcW w:w="8783"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江滨中大道→连江中路→排尾路→六一中路</w:t>
            </w:r>
          </w:p>
        </w:tc>
        <w:tc>
          <w:tcPr>
            <w:tcW w:w="1741" w:type="dxa"/>
            <w:tcBorders>
              <w:top w:val="nil"/>
              <w:left w:val="nil"/>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0.3704 </w:t>
            </w:r>
          </w:p>
        </w:tc>
      </w:tr>
      <w:tr>
        <w:tblPrEx>
          <w:tblCellMar>
            <w:top w:w="0" w:type="dxa"/>
            <w:left w:w="108" w:type="dxa"/>
            <w:bottom w:w="0" w:type="dxa"/>
            <w:right w:w="108" w:type="dxa"/>
          </w:tblCellMar>
        </w:tblPrEx>
        <w:trPr>
          <w:trHeight w:val="823" w:hRule="atLeast"/>
          <w:jc w:val="center"/>
        </w:trPr>
        <w:tc>
          <w:tcPr>
            <w:tcW w:w="1271" w:type="dxa"/>
            <w:tcBorders>
              <w:top w:val="nil"/>
              <w:left w:val="single" w:color="auto" w:sz="4" w:space="0"/>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JZQ010</w:t>
            </w:r>
          </w:p>
        </w:tc>
        <w:tc>
          <w:tcPr>
            <w:tcW w:w="3074"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中庚香江万里区域</w:t>
            </w:r>
          </w:p>
        </w:tc>
        <w:tc>
          <w:tcPr>
            <w:tcW w:w="8783"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鳌峰路→鳌江路→南光明港路→榕信东苑北区（东、北西）边界→南光明港路→连江中路→鳌兴路→光明路→榕江新天地（北、西）边界</w:t>
            </w:r>
          </w:p>
        </w:tc>
        <w:tc>
          <w:tcPr>
            <w:tcW w:w="1741" w:type="dxa"/>
            <w:tcBorders>
              <w:top w:val="nil"/>
              <w:left w:val="nil"/>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0.3432 </w:t>
            </w:r>
          </w:p>
        </w:tc>
      </w:tr>
      <w:tr>
        <w:tblPrEx>
          <w:tblCellMar>
            <w:top w:w="0" w:type="dxa"/>
            <w:left w:w="108" w:type="dxa"/>
            <w:bottom w:w="0" w:type="dxa"/>
            <w:right w:w="108" w:type="dxa"/>
          </w:tblCellMar>
        </w:tblPrEx>
        <w:trPr>
          <w:trHeight w:val="725" w:hRule="atLeast"/>
          <w:jc w:val="center"/>
        </w:trPr>
        <w:tc>
          <w:tcPr>
            <w:tcW w:w="1271" w:type="dxa"/>
            <w:tcBorders>
              <w:top w:val="nil"/>
              <w:left w:val="single" w:color="auto" w:sz="4" w:space="0"/>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JZQ011</w:t>
            </w:r>
          </w:p>
        </w:tc>
        <w:tc>
          <w:tcPr>
            <w:tcW w:w="3074"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阳光城凡尔赛宫区域</w:t>
            </w:r>
          </w:p>
        </w:tc>
        <w:tc>
          <w:tcPr>
            <w:tcW w:w="8783"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鳌峰路→鳌港路→南光明港路→鳌江路</w:t>
            </w:r>
          </w:p>
        </w:tc>
        <w:tc>
          <w:tcPr>
            <w:tcW w:w="1741" w:type="dxa"/>
            <w:tcBorders>
              <w:top w:val="nil"/>
              <w:left w:val="nil"/>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1.2647 </w:t>
            </w:r>
          </w:p>
        </w:tc>
      </w:tr>
      <w:tr>
        <w:tblPrEx>
          <w:tblCellMar>
            <w:top w:w="0" w:type="dxa"/>
            <w:left w:w="108" w:type="dxa"/>
            <w:bottom w:w="0" w:type="dxa"/>
            <w:right w:w="108" w:type="dxa"/>
          </w:tblCellMar>
        </w:tblPrEx>
        <w:trPr>
          <w:trHeight w:val="456" w:hRule="atLeast"/>
          <w:jc w:val="center"/>
        </w:trPr>
        <w:tc>
          <w:tcPr>
            <w:tcW w:w="1271" w:type="dxa"/>
            <w:tcBorders>
              <w:top w:val="nil"/>
              <w:left w:val="single" w:color="auto" w:sz="4" w:space="0"/>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JZQ012</w:t>
            </w:r>
          </w:p>
        </w:tc>
        <w:tc>
          <w:tcPr>
            <w:tcW w:w="3074"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海润滨江花园区域</w:t>
            </w:r>
          </w:p>
        </w:tc>
        <w:tc>
          <w:tcPr>
            <w:tcW w:w="8783"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江滨中大道→二环快速路→鳌峰路→鳌江路</w:t>
            </w:r>
          </w:p>
        </w:tc>
        <w:tc>
          <w:tcPr>
            <w:tcW w:w="1741" w:type="dxa"/>
            <w:tcBorders>
              <w:top w:val="nil"/>
              <w:left w:val="nil"/>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0.7239 </w:t>
            </w:r>
          </w:p>
        </w:tc>
      </w:tr>
      <w:tr>
        <w:tblPrEx>
          <w:tblCellMar>
            <w:top w:w="0" w:type="dxa"/>
            <w:left w:w="108" w:type="dxa"/>
            <w:bottom w:w="0" w:type="dxa"/>
            <w:right w:w="108" w:type="dxa"/>
          </w:tblCellMar>
        </w:tblPrEx>
        <w:trPr>
          <w:trHeight w:val="456" w:hRule="atLeast"/>
          <w:jc w:val="center"/>
        </w:trPr>
        <w:tc>
          <w:tcPr>
            <w:tcW w:w="1271" w:type="dxa"/>
            <w:tcBorders>
              <w:top w:val="nil"/>
              <w:left w:val="single" w:color="auto" w:sz="4" w:space="0"/>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JZQ013</w:t>
            </w:r>
          </w:p>
        </w:tc>
        <w:tc>
          <w:tcPr>
            <w:tcW w:w="3074"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万科金融港区域</w:t>
            </w:r>
          </w:p>
        </w:tc>
        <w:tc>
          <w:tcPr>
            <w:tcW w:w="8783" w:type="dxa"/>
            <w:tcBorders>
              <w:top w:val="nil"/>
              <w:left w:val="nil"/>
              <w:bottom w:val="single" w:color="auto" w:sz="4" w:space="0"/>
              <w:right w:val="single" w:color="auto" w:sz="4" w:space="0"/>
            </w:tcBorders>
            <w:noWrap w:val="0"/>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江滨中大道→鳌港路→万科金融港北侧边界→二环快速路</w:t>
            </w:r>
          </w:p>
        </w:tc>
        <w:tc>
          <w:tcPr>
            <w:tcW w:w="1741" w:type="dxa"/>
            <w:tcBorders>
              <w:top w:val="nil"/>
              <w:left w:val="nil"/>
              <w:bottom w:val="single" w:color="auto" w:sz="4" w:space="0"/>
              <w:right w:val="single" w:color="auto" w:sz="4" w:space="0"/>
            </w:tcBorders>
            <w:noWrap/>
            <w:tcMar>
              <w:left w:w="51" w:type="dxa"/>
              <w:right w:w="51" w:type="dxa"/>
            </w:tcMar>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0.1513 </w:t>
            </w:r>
          </w:p>
        </w:tc>
      </w:tr>
    </w:tbl>
    <w:p>
      <w:pPr>
        <w:rPr>
          <w:rFonts w:hint="eastAsia"/>
        </w:rPr>
      </w:pPr>
    </w:p>
    <w:p>
      <w:pPr>
        <w:rPr>
          <w:rFonts w:hint="eastAsia"/>
        </w:rPr>
      </w:pPr>
      <w:r>
        <w:drawing>
          <wp:anchor distT="0" distB="0" distL="114300" distR="114300" simplePos="0" relativeHeight="251658240" behindDoc="0" locked="0" layoutInCell="1" allowOverlap="1">
            <wp:simplePos x="0" y="0"/>
            <wp:positionH relativeFrom="column">
              <wp:posOffset>755650</wp:posOffset>
            </wp:positionH>
            <wp:positionV relativeFrom="paragraph">
              <wp:posOffset>38100</wp:posOffset>
            </wp:positionV>
            <wp:extent cx="7534910" cy="5146675"/>
            <wp:effectExtent l="0" t="0" r="8890" b="15875"/>
            <wp:wrapSquare wrapText="bothSides"/>
            <wp:docPr id="1"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true"/>
                    </pic:cNvPicPr>
                  </pic:nvPicPr>
                  <pic:blipFill>
                    <a:blip r:embed="rId13"/>
                    <a:stretch>
                      <a:fillRect/>
                    </a:stretch>
                  </pic:blipFill>
                  <pic:spPr>
                    <a:xfrm>
                      <a:off x="0" y="0"/>
                      <a:ext cx="7534910" cy="5146675"/>
                    </a:xfrm>
                    <a:prstGeom prst="rect">
                      <a:avLst/>
                    </a:prstGeom>
                    <a:noFill/>
                    <a:ln>
                      <a:noFill/>
                    </a:ln>
                  </pic:spPr>
                </pic:pic>
              </a:graphicData>
            </a:graphic>
          </wp:anchor>
        </w:drawing>
      </w:r>
      <w:r>
        <w:rPr>
          <w:rFonts w:hint="eastAsia" w:ascii="仿宋_GB2312" w:hAnsi="仿宋_GB2312" w:eastAsia="仿宋_GB2312" w:cs="仿宋_GB2312"/>
          <w:b w:val="0"/>
          <w:bCs w:val="0"/>
          <w:sz w:val="32"/>
          <w:szCs w:val="32"/>
        </w:rPr>
        <w:t>附</w:t>
      </w:r>
      <w:r>
        <w:rPr>
          <w:rFonts w:hint="eastAsia" w:ascii="仿宋_GB2312" w:hAnsi="仿宋_GB2312" w:eastAsia="仿宋_GB2312" w:cs="仿宋_GB2312"/>
          <w:b w:val="0"/>
          <w:bCs w:val="0"/>
          <w:sz w:val="32"/>
          <w:szCs w:val="32"/>
          <w:lang w:eastAsia="zh-CN"/>
        </w:rPr>
        <w:t>件</w:t>
      </w:r>
      <w:r>
        <w:rPr>
          <w:rFonts w:hint="eastAsia" w:ascii="仿宋_GB2312" w:hAnsi="仿宋_GB2312" w:eastAsia="仿宋_GB2312" w:cs="仿宋_GB2312"/>
          <w:b w:val="0"/>
          <w:bCs w:val="0"/>
          <w:sz w:val="32"/>
          <w:szCs w:val="32"/>
          <w:lang w:val="en-US" w:eastAsia="zh-CN"/>
        </w:rPr>
        <w:t>2</w:t>
      </w:r>
    </w:p>
    <w:sectPr>
      <w:pgSz w:w="16838" w:h="11906" w:orient="landscape"/>
      <w:pgMar w:top="1800" w:right="1440" w:bottom="1800" w:left="144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华文中宋">
    <w:altName w:val="汉仪中宋简"/>
    <w:panose1 w:val="02010600040101010101"/>
    <w:charset w:val="00"/>
    <w:family w:val="auto"/>
    <w:pitch w:val="default"/>
    <w:sig w:usb0="00000000" w:usb1="00000000" w:usb2="00000010" w:usb3="00000000" w:csb0="0004009F" w:csb1="00000000"/>
  </w:font>
  <w:font w:name="方正黑体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楷体_GB2312">
    <w:altName w:val="楷体"/>
    <w:panose1 w:val="02010609030101010101"/>
    <w:charset w:val="00"/>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jc w:val="center"/>
    </w:pPr>
  </w:p>
  <w:p>
    <w:pPr>
      <w:pStyle w:val="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wordWrap w:val="0"/>
      <w:spacing w:line="471" w:lineRule="auto"/>
      <w:ind w:right="308" w:rightChars="100"/>
      <w:jc w:val="right"/>
      <w:rPr>
        <w:rFonts w:hint="eastAsia" w:ascii="楷体_GB2312" w:eastAsia="楷体_GB2312"/>
        <w:sz w:val="28"/>
      </w:rPr>
    </w:pPr>
    <w:r>
      <w:rPr>
        <w:rStyle w:val="9"/>
        <w:rFonts w:hint="eastAsia" w:ascii="宋体" w:hAnsi="宋体" w:eastAsia="宋体"/>
        <w:sz w:val="28"/>
      </w:rPr>
      <w:t xml:space="preserve">— </w:t>
    </w:r>
    <w:r>
      <w:rPr>
        <w:rFonts w:hint="eastAsia" w:ascii="宋体" w:hAnsi="宋体" w:eastAsia="宋体" w:cs="宋体"/>
        <w:sz w:val="28"/>
        <w:szCs w:val="28"/>
      </w:rPr>
      <w:fldChar w:fldCharType="begin"/>
    </w:r>
    <w:r>
      <w:rPr>
        <w:rStyle w:val="9"/>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lang/>
      </w:rPr>
      <w:t>3</w:t>
    </w:r>
    <w:r>
      <w:rPr>
        <w:rFonts w:hint="eastAsia" w:ascii="宋体" w:hAnsi="宋体" w:eastAsia="宋体" w:cs="宋体"/>
        <w:sz w:val="28"/>
        <w:szCs w:val="28"/>
      </w:rPr>
      <w:fldChar w:fldCharType="end"/>
    </w:r>
    <w:r>
      <w:rPr>
        <w:rFonts w:hint="eastAsia" w:ascii="宋体" w:hAnsi="宋体" w:eastAsia="宋体"/>
        <w:sz w:val="28"/>
      </w:rPr>
      <w:t xml:space="preserve"> </w:t>
    </w:r>
    <w:r>
      <w:rPr>
        <w:rStyle w:val="9"/>
        <w:rFonts w:hint="eastAsia" w:ascii="宋体" w:hAnsi="宋体" w:eastAsia="宋体"/>
        <w:sz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471" w:lineRule="auto"/>
      <w:ind w:left="308" w:leftChars="100"/>
      <w:jc w:val="left"/>
      <w:rPr>
        <w:rStyle w:val="9"/>
        <w:rFonts w:hint="eastAsia" w:ascii="宋体" w:hAnsi="宋体" w:eastAsia="宋体"/>
        <w:sz w:val="28"/>
      </w:rPr>
    </w:pPr>
    <w:r>
      <w:rPr>
        <w:rStyle w:val="9"/>
        <w:rFonts w:hint="eastAsia" w:ascii="宋体" w:hAnsi="宋体" w:eastAsia="宋体"/>
        <w:sz w:val="28"/>
      </w:rPr>
      <w:t xml:space="preserve">— </w:t>
    </w:r>
    <w:r>
      <w:rPr>
        <w:rFonts w:hint="eastAsia" w:ascii="宋体" w:hAnsi="宋体" w:eastAsia="宋体"/>
        <w:sz w:val="28"/>
      </w:rPr>
      <w:fldChar w:fldCharType="begin"/>
    </w:r>
    <w:r>
      <w:rPr>
        <w:rStyle w:val="9"/>
        <w:rFonts w:hint="eastAsia" w:ascii="宋体" w:hAnsi="宋体" w:eastAsia="宋体"/>
        <w:sz w:val="28"/>
      </w:rPr>
      <w:instrText xml:space="preserve"> PAGE </w:instrText>
    </w:r>
    <w:r>
      <w:rPr>
        <w:rFonts w:hint="eastAsia" w:ascii="宋体" w:hAnsi="宋体" w:eastAsia="宋体"/>
        <w:sz w:val="28"/>
      </w:rPr>
      <w:fldChar w:fldCharType="separate"/>
    </w:r>
    <w:r>
      <w:rPr>
        <w:rStyle w:val="9"/>
        <w:rFonts w:ascii="宋体" w:hAnsi="宋体" w:eastAsia="宋体"/>
        <w:sz w:val="28"/>
        <w:lang/>
      </w:rPr>
      <w:t>2</w:t>
    </w:r>
    <w:r>
      <w:rPr>
        <w:rFonts w:hint="eastAsia" w:ascii="宋体" w:hAnsi="宋体" w:eastAsia="宋体"/>
        <w:sz w:val="28"/>
      </w:rPr>
      <w:fldChar w:fldCharType="end"/>
    </w:r>
    <w:r>
      <w:rPr>
        <w:rFonts w:hint="eastAsia" w:ascii="宋体" w:hAnsi="宋体" w:eastAsia="宋体"/>
        <w:sz w:val="28"/>
      </w:rPr>
      <w:t xml:space="preserve"> </w:t>
    </w:r>
    <w:r>
      <w:rPr>
        <w:rStyle w:val="9"/>
        <w:rFonts w:hint="eastAsia" w:ascii="宋体" w:hAnsi="宋体" w:eastAsia="宋体"/>
        <w:sz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chineseCountingThousand"/>
      <w:pStyle w:val="11"/>
      <w:suff w:val="space"/>
      <w:lvlText w:val="第%1章"/>
      <w:lvlJc w:val="left"/>
      <w:pPr>
        <w:ind w:left="0" w:firstLine="454"/>
      </w:pPr>
      <w:rPr>
        <w:rFonts w:hint="eastAsia" w:eastAsia="方正黑体_GBK"/>
        <w:color w:val="auto"/>
      </w:rPr>
    </w:lvl>
    <w:lvl w:ilvl="1" w:tentative="0">
      <w:start w:val="1"/>
      <w:numFmt w:val="chineseCountingThousand"/>
      <w:suff w:val="space"/>
      <w:lvlText w:val="第%2条"/>
      <w:lvlJc w:val="left"/>
      <w:pPr>
        <w:ind w:left="0" w:firstLine="0"/>
      </w:pPr>
      <w:rPr>
        <w:rFonts w:hint="eastAsia" w:eastAsia="方正黑体_GBK"/>
        <w:color w:val="auto"/>
      </w:rPr>
    </w:lvl>
    <w:lvl w:ilvl="2" w:tentative="0">
      <w:start w:val="1"/>
      <w:numFmt w:val="chineseCountingThousand"/>
      <w:suff w:val="space"/>
      <w:lvlText w:val="第%3条"/>
      <w:lvlJc w:val="left"/>
      <w:pPr>
        <w:ind w:left="0" w:firstLine="454"/>
      </w:pPr>
      <w:rPr>
        <w:rFonts w:hint="eastAsia"/>
        <w:color w:val="auto"/>
      </w:rPr>
    </w:lvl>
    <w:lvl w:ilvl="3" w:tentative="0">
      <w:start w:val="1"/>
      <w:numFmt w:val="chineseCountingThousand"/>
      <w:suff w:val="space"/>
      <w:lvlText w:val="（%4）"/>
      <w:lvlJc w:val="left"/>
      <w:pPr>
        <w:ind w:left="0" w:firstLine="340"/>
      </w:pPr>
      <w:rPr>
        <w:rFonts w:hint="eastAsia"/>
        <w:color w:val="auto"/>
      </w:rPr>
    </w:lvl>
    <w:lvl w:ilvl="4" w:tentative="0">
      <w:start w:val="1"/>
      <w:numFmt w:val="decimal"/>
      <w:suff w:val="space"/>
      <w:lvlText w:val="%5．"/>
      <w:lvlJc w:val="left"/>
      <w:pPr>
        <w:ind w:left="0" w:firstLine="454"/>
      </w:pPr>
      <w:rPr>
        <w:rFonts w:hint="eastAsia"/>
        <w:color w:val="auto"/>
      </w:rPr>
    </w:lvl>
    <w:lvl w:ilvl="5" w:tentative="0">
      <w:start w:val="1"/>
      <w:numFmt w:val="decimal"/>
      <w:suff w:val="space"/>
      <w:lvlText w:val="（%6）"/>
      <w:lvlJc w:val="left"/>
      <w:pPr>
        <w:ind w:left="0" w:firstLine="340"/>
      </w:pPr>
      <w:rPr>
        <w:rFonts w:hint="eastAsia"/>
        <w:color w:val="auto"/>
      </w:rPr>
    </w:lvl>
    <w:lvl w:ilvl="6" w:tentative="0">
      <w:start w:val="1"/>
      <w:numFmt w:val="decimalEnclosedCircle"/>
      <w:suff w:val="space"/>
      <w:lvlText w:val="%7 "/>
      <w:lvlJc w:val="left"/>
      <w:pPr>
        <w:ind w:left="0" w:firstLine="454"/>
      </w:pPr>
      <w:rPr>
        <w:rFonts w:hint="eastAsia"/>
        <w:color w:val="auto"/>
      </w:rPr>
    </w:lvl>
    <w:lvl w:ilvl="7" w:tentative="0">
      <w:start w:val="1"/>
      <w:numFmt w:val="decimal"/>
      <w:suff w:val="space"/>
      <w:lvlText w:val="%8）"/>
      <w:lvlJc w:val="left"/>
      <w:pPr>
        <w:ind w:left="0" w:firstLine="454"/>
      </w:pPr>
      <w:rPr>
        <w:rFonts w:hint="eastAsia"/>
        <w:color w:val="auto"/>
      </w:rPr>
    </w:lvl>
    <w:lvl w:ilvl="8" w:tentative="0">
      <w:start w:val="1"/>
      <w:numFmt w:val="none"/>
      <w:suff w:val="space"/>
      <w:lvlText w:val="a．"/>
      <w:lvlJc w:val="left"/>
      <w:pPr>
        <w:ind w:left="0" w:firstLine="454"/>
      </w:pPr>
      <w:rPr>
        <w:rFonts w:hint="eastAsia"/>
        <w:color w:val="auto"/>
      </w:rPr>
    </w:lvl>
  </w:abstractNum>
  <w:abstractNum w:abstractNumId="1">
    <w:nsid w:val="4D504CC5"/>
    <w:multiLevelType w:val="multilevel"/>
    <w:tmpl w:val="4D504CC5"/>
    <w:lvl w:ilvl="0" w:tentative="0">
      <w:start w:val="1"/>
      <w:numFmt w:val="decimal"/>
      <w:pStyle w:val="2"/>
      <w:lvlText w:val="%1"/>
      <w:lvlJc w:val="left"/>
      <w:pPr>
        <w:ind w:left="425" w:hanging="425"/>
      </w:pPr>
      <w:rPr>
        <w:rFonts w:hint="eastAsia"/>
      </w:rPr>
    </w:lvl>
    <w:lvl w:ilvl="1" w:tentative="0">
      <w:start w:val="1"/>
      <w:numFmt w:val="decimal"/>
      <w:lvlText w:val="%1.%2"/>
      <w:lvlJc w:val="left"/>
      <w:pPr>
        <w:tabs>
          <w:tab w:val="left" w:pos="567"/>
        </w:tabs>
        <w:ind w:left="567" w:hanging="567"/>
      </w:pPr>
      <w:rPr>
        <w:b w:val="0"/>
        <w:bCs w:val="0"/>
        <w:i w:val="0"/>
        <w:iCs w:val="0"/>
        <w:caps w:val="0"/>
        <w:smallCaps w:val="0"/>
        <w:strike w:val="0"/>
        <w:dstrike w:val="0"/>
        <w:vanish w:val="0"/>
        <w:color w:val="000000"/>
        <w:spacing w:val="0"/>
        <w:position w:val="0"/>
        <w:u w:val="none"/>
        <w:vertAlign w:val="baseline"/>
      </w:rPr>
    </w:lvl>
    <w:lvl w:ilvl="2" w:tentative="0">
      <w:start w:val="1"/>
      <w:numFmt w:val="decimal"/>
      <w:lvlText w:val="%1.%2.%3"/>
      <w:lvlJc w:val="left"/>
      <w:pPr>
        <w:tabs>
          <w:tab w:val="left" w:pos="709"/>
        </w:tabs>
        <w:ind w:left="709" w:hanging="709"/>
      </w:pPr>
      <w:rPr>
        <w:b w:val="0"/>
        <w:bCs w:val="0"/>
        <w:i w:val="0"/>
        <w:iCs w:val="0"/>
        <w:caps w:val="0"/>
        <w:smallCaps w:val="0"/>
        <w:strike w:val="0"/>
        <w:dstrike w:val="0"/>
        <w:vanish w:val="0"/>
        <w:color w:val="000000"/>
        <w:spacing w:val="0"/>
        <w:position w:val="0"/>
        <w:u w:val="none"/>
        <w:vertAlign w:val="baseline"/>
      </w:rPr>
    </w:lvl>
    <w:lvl w:ilvl="3" w:tentative="0">
      <w:start w:val="1"/>
      <w:numFmt w:val="decimal"/>
      <w:lvlText w:val="%1.%2.%3.%4"/>
      <w:lvlJc w:val="left"/>
      <w:pPr>
        <w:tabs>
          <w:tab w:val="left" w:pos="851"/>
        </w:tabs>
        <w:ind w:left="851" w:hanging="851"/>
      </w:pPr>
      <w:rPr>
        <w:b w:val="0"/>
        <w:bCs w:val="0"/>
        <w:i w:val="0"/>
        <w:iCs w:val="0"/>
        <w:caps w:val="0"/>
        <w:smallCaps w:val="0"/>
        <w:strike w:val="0"/>
        <w:dstrike w:val="0"/>
        <w:vanish w:val="0"/>
        <w:color w:val="000000"/>
        <w:spacing w:val="0"/>
        <w:position w:val="0"/>
        <w:u w:val="none"/>
        <w:vertAlign w:val="baseline"/>
      </w:rPr>
    </w:lvl>
    <w:lvl w:ilvl="4" w:tentative="0">
      <w:start w:val="1"/>
      <w:numFmt w:val="decimal"/>
      <w:lvlText w:val="%1.%2.%3.%4.%5"/>
      <w:lvlJc w:val="left"/>
      <w:pPr>
        <w:ind w:left="2551" w:hanging="850"/>
      </w:p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55F43DA3"/>
    <w:multiLevelType w:val="multilevel"/>
    <w:tmpl w:val="55F43DA3"/>
    <w:lvl w:ilvl="0" w:tentative="0">
      <w:start w:val="1"/>
      <w:numFmt w:val="decimal"/>
      <w:suff w:val="nothing"/>
      <w:lvlText w:val="（%1）"/>
      <w:lvlJc w:val="left"/>
      <w:pPr>
        <w:ind w:left="900" w:hanging="420"/>
      </w:pPr>
      <w:rPr>
        <w:rFonts w:hint="eastAsia" w:ascii="宋体" w:hAnsi="宋体" w:eastAsia="宋体"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revisionView w:markup="0"/>
  <w:trackRevisions w:val="true"/>
  <w:documentProtection w:edit="readOnly" w:enforcement="1"/>
  <w:defaultTabStop w:val="720"/>
  <w:hyphenationZone w:val="360"/>
  <w:drawingGridHorizontalSpacing w:val="308"/>
  <w:drawingGridVerticalSpacing w:val="296"/>
  <w:displayHorizontalDrawingGridEvery w:val="1"/>
  <w:displayVerticalDrawingGridEvery w:val="2"/>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BreakWrappedTab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DocStyle" w:val="2"/>
  </w:docVars>
  <w:rsids>
    <w:rsidRoot w:val="FFFFC041"/>
    <w:rsid w:val="006A0FEA"/>
    <w:rsid w:val="0082733A"/>
    <w:rsid w:val="04B0246E"/>
    <w:rsid w:val="04E0470D"/>
    <w:rsid w:val="05556C9B"/>
    <w:rsid w:val="065E0402"/>
    <w:rsid w:val="06D40C09"/>
    <w:rsid w:val="07510C8F"/>
    <w:rsid w:val="08C82627"/>
    <w:rsid w:val="0A7515C7"/>
    <w:rsid w:val="0B6321D6"/>
    <w:rsid w:val="0C0B2D5C"/>
    <w:rsid w:val="0C28596B"/>
    <w:rsid w:val="0C337638"/>
    <w:rsid w:val="0C624F17"/>
    <w:rsid w:val="0DC17C9E"/>
    <w:rsid w:val="0F051AC8"/>
    <w:rsid w:val="0F1E59DC"/>
    <w:rsid w:val="0F9F79E5"/>
    <w:rsid w:val="10090EB2"/>
    <w:rsid w:val="10DA2D47"/>
    <w:rsid w:val="11AA2CD9"/>
    <w:rsid w:val="134D6FF3"/>
    <w:rsid w:val="166770DF"/>
    <w:rsid w:val="17424F9E"/>
    <w:rsid w:val="18FC210A"/>
    <w:rsid w:val="1AFD2B54"/>
    <w:rsid w:val="1B486B8B"/>
    <w:rsid w:val="1C2107EB"/>
    <w:rsid w:val="1E7E2B16"/>
    <w:rsid w:val="22E070C6"/>
    <w:rsid w:val="23E948EA"/>
    <w:rsid w:val="253B4E3C"/>
    <w:rsid w:val="25BB0C45"/>
    <w:rsid w:val="25BD0EF9"/>
    <w:rsid w:val="25EB5B45"/>
    <w:rsid w:val="268B284C"/>
    <w:rsid w:val="26F51A44"/>
    <w:rsid w:val="27AD5FBC"/>
    <w:rsid w:val="28BE707F"/>
    <w:rsid w:val="28F770C2"/>
    <w:rsid w:val="29CC039F"/>
    <w:rsid w:val="2A0321A1"/>
    <w:rsid w:val="2A8D1D2B"/>
    <w:rsid w:val="2D0C1AF6"/>
    <w:rsid w:val="2D5B73AE"/>
    <w:rsid w:val="2DBC0615"/>
    <w:rsid w:val="31557E7B"/>
    <w:rsid w:val="31E267E6"/>
    <w:rsid w:val="325F6603"/>
    <w:rsid w:val="32C93BCA"/>
    <w:rsid w:val="3398619A"/>
    <w:rsid w:val="33A22494"/>
    <w:rsid w:val="341F6A59"/>
    <w:rsid w:val="34B67588"/>
    <w:rsid w:val="34C50171"/>
    <w:rsid w:val="3661359A"/>
    <w:rsid w:val="3698771E"/>
    <w:rsid w:val="375B2675"/>
    <w:rsid w:val="386E78AD"/>
    <w:rsid w:val="391F0440"/>
    <w:rsid w:val="3C3D46E8"/>
    <w:rsid w:val="3C543787"/>
    <w:rsid w:val="3C5E520F"/>
    <w:rsid w:val="3DD209D6"/>
    <w:rsid w:val="3E1B0B74"/>
    <w:rsid w:val="3EFACC5A"/>
    <w:rsid w:val="3FD93DCD"/>
    <w:rsid w:val="412E4C7F"/>
    <w:rsid w:val="416076DC"/>
    <w:rsid w:val="43A8628C"/>
    <w:rsid w:val="445709AF"/>
    <w:rsid w:val="449E50E2"/>
    <w:rsid w:val="44D14E73"/>
    <w:rsid w:val="452D770D"/>
    <w:rsid w:val="45B71977"/>
    <w:rsid w:val="47307DD7"/>
    <w:rsid w:val="47D04DD3"/>
    <w:rsid w:val="487D16AC"/>
    <w:rsid w:val="48ED7BD1"/>
    <w:rsid w:val="49287F12"/>
    <w:rsid w:val="499524F4"/>
    <w:rsid w:val="49D15369"/>
    <w:rsid w:val="4BEB429E"/>
    <w:rsid w:val="4C3B600E"/>
    <w:rsid w:val="4CD447B5"/>
    <w:rsid w:val="4E373307"/>
    <w:rsid w:val="4EEB63AD"/>
    <w:rsid w:val="4FD8612C"/>
    <w:rsid w:val="50892FF4"/>
    <w:rsid w:val="50EF74D3"/>
    <w:rsid w:val="51704512"/>
    <w:rsid w:val="52654633"/>
    <w:rsid w:val="52C10BFB"/>
    <w:rsid w:val="536E47C6"/>
    <w:rsid w:val="54712998"/>
    <w:rsid w:val="556A77E9"/>
    <w:rsid w:val="58CB6A3A"/>
    <w:rsid w:val="596D709C"/>
    <w:rsid w:val="59911572"/>
    <w:rsid w:val="59AB7E87"/>
    <w:rsid w:val="5A036B9F"/>
    <w:rsid w:val="5A930561"/>
    <w:rsid w:val="5AC2100F"/>
    <w:rsid w:val="5C3A545D"/>
    <w:rsid w:val="5CFE6BBD"/>
    <w:rsid w:val="5D432A17"/>
    <w:rsid w:val="5D5F6B9A"/>
    <w:rsid w:val="5F6C1307"/>
    <w:rsid w:val="6346773F"/>
    <w:rsid w:val="637D5ACA"/>
    <w:rsid w:val="656C64A8"/>
    <w:rsid w:val="665541AD"/>
    <w:rsid w:val="676E37C1"/>
    <w:rsid w:val="67D15A64"/>
    <w:rsid w:val="681D3EE5"/>
    <w:rsid w:val="681F23D0"/>
    <w:rsid w:val="686752E2"/>
    <w:rsid w:val="687605C0"/>
    <w:rsid w:val="6A0769C5"/>
    <w:rsid w:val="6B146ABA"/>
    <w:rsid w:val="6B902A58"/>
    <w:rsid w:val="6BED679D"/>
    <w:rsid w:val="6C4C58BD"/>
    <w:rsid w:val="6D05506C"/>
    <w:rsid w:val="6D674069"/>
    <w:rsid w:val="6DFE7595"/>
    <w:rsid w:val="6EDF3990"/>
    <w:rsid w:val="71C21AFA"/>
    <w:rsid w:val="72B2510C"/>
    <w:rsid w:val="73A7D91A"/>
    <w:rsid w:val="73CD76E7"/>
    <w:rsid w:val="74BF7515"/>
    <w:rsid w:val="74D643FB"/>
    <w:rsid w:val="75FF410F"/>
    <w:rsid w:val="766772D7"/>
    <w:rsid w:val="7701204E"/>
    <w:rsid w:val="77054B26"/>
    <w:rsid w:val="786F2F58"/>
    <w:rsid w:val="78BE1FA4"/>
    <w:rsid w:val="7AFE23E6"/>
    <w:rsid w:val="7B835FAF"/>
    <w:rsid w:val="7CD136D3"/>
    <w:rsid w:val="7DFE66C3"/>
    <w:rsid w:val="7ECA128F"/>
    <w:rsid w:val="7F3FCA31"/>
    <w:rsid w:val="7F6FC608"/>
    <w:rsid w:val="7FDE1157"/>
    <w:rsid w:val="7FFF9DB1"/>
    <w:rsid w:val="9EEFB4A4"/>
    <w:rsid w:val="ADDF9A4A"/>
    <w:rsid w:val="B7F7FCE8"/>
    <w:rsid w:val="BD9F84E1"/>
    <w:rsid w:val="CCA7F14F"/>
    <w:rsid w:val="DA9A9025"/>
    <w:rsid w:val="DDED877D"/>
    <w:rsid w:val="DFD7BD57"/>
    <w:rsid w:val="DFF964E7"/>
    <w:rsid w:val="DFFEEAE2"/>
    <w:rsid w:val="E7EDFD4D"/>
    <w:rsid w:val="EBFF7EC3"/>
    <w:rsid w:val="EDEECAF9"/>
    <w:rsid w:val="EF8EE667"/>
    <w:rsid w:val="EFEFE476"/>
    <w:rsid w:val="EFFCBC21"/>
    <w:rsid w:val="F38DBED6"/>
    <w:rsid w:val="F83D5247"/>
    <w:rsid w:val="FAFE01E4"/>
    <w:rsid w:val="FC3FC9ED"/>
    <w:rsid w:val="FDFE57F6"/>
    <w:rsid w:val="FF9D0DDE"/>
    <w:rsid w:val="FFEB850F"/>
    <w:rsid w:val="FFF39401"/>
    <w:rsid w:val="FFFFC04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tLeast"/>
      <w:jc w:val="both"/>
    </w:pPr>
    <w:rPr>
      <w:rFonts w:eastAsia="仿宋_GB2312"/>
      <w:spacing w:val="-6"/>
      <w:kern w:val="2"/>
      <w:sz w:val="32"/>
      <w:lang w:val="en-US" w:eastAsia="zh-CN" w:bidi="ar-SA"/>
    </w:rPr>
  </w:style>
  <w:style w:type="paragraph" w:styleId="2">
    <w:name w:val="heading 1"/>
    <w:basedOn w:val="1"/>
    <w:next w:val="1"/>
    <w:qFormat/>
    <w:uiPriority w:val="9"/>
    <w:pPr>
      <w:keepNext/>
      <w:keepLines/>
      <w:numPr>
        <w:ilvl w:val="0"/>
        <w:numId w:val="1"/>
      </w:numPr>
      <w:spacing w:before="180" w:after="180"/>
      <w:ind w:left="0" w:firstLine="0" w:firstLineChars="0"/>
      <w:outlineLvl w:val="0"/>
    </w:pPr>
    <w:rPr>
      <w:rFonts w:eastAsia="黑体"/>
      <w:b/>
      <w:bCs/>
      <w:kern w:val="44"/>
      <w:sz w:val="36"/>
      <w:szCs w:val="44"/>
    </w:rPr>
  </w:style>
  <w:style w:type="character" w:default="1" w:styleId="8">
    <w:name w:val="Default Paragraph Font"/>
    <w:uiPriority w:val="0"/>
  </w:style>
  <w:style w:type="table" w:default="1" w:styleId="6">
    <w:name w:val="Normal Table"/>
    <w:unhideWhenUsed/>
    <w:uiPriority w:val="99"/>
    <w:tblPr>
      <w:tblStyle w:val="6"/>
      <w:tblCellMar>
        <w:top w:w="0" w:type="dxa"/>
        <w:left w:w="108" w:type="dxa"/>
        <w:bottom w:w="0" w:type="dxa"/>
        <w:right w:w="108" w:type="dxa"/>
      </w:tblCellMar>
    </w:tblPr>
  </w:style>
  <w:style w:type="paragraph" w:styleId="3">
    <w:name w:val="footer"/>
    <w:basedOn w:val="1"/>
    <w:uiPriority w:val="0"/>
    <w:pPr>
      <w:tabs>
        <w:tab w:val="center" w:pos="4153"/>
        <w:tab w:val="right" w:pos="8306"/>
      </w:tabs>
      <w:overflowPunct w:val="0"/>
      <w:autoSpaceDE w:val="0"/>
      <w:autoSpaceDN w:val="0"/>
      <w:adjustRightInd w:val="0"/>
      <w:spacing w:line="240" w:lineRule="atLeast"/>
      <w:jc w:val="both"/>
      <w:textAlignment w:val="baseline"/>
    </w:pPr>
    <w:rPr>
      <w:sz w:val="20"/>
    </w:rPr>
  </w:style>
  <w:style w:type="paragraph" w:styleId="4">
    <w:name w:val="header"/>
    <w:basedOn w:val="1"/>
    <w:uiPriority w:val="0"/>
    <w:pPr>
      <w:tabs>
        <w:tab w:val="center" w:pos="4153"/>
        <w:tab w:val="right" w:pos="8306"/>
      </w:tabs>
      <w:overflowPunct w:val="0"/>
      <w:autoSpaceDE w:val="0"/>
      <w:autoSpaceDN w:val="0"/>
      <w:adjustRightInd w:val="0"/>
      <w:spacing w:line="240" w:lineRule="atLeast"/>
      <w:jc w:val="both"/>
      <w:textAlignment w:val="baseline"/>
    </w:pPr>
    <w:rPr>
      <w:sz w:val="20"/>
    </w:rPr>
  </w:style>
  <w:style w:type="paragraph" w:styleId="5">
    <w:name w:val="Title"/>
    <w:basedOn w:val="1"/>
    <w:next w:val="1"/>
    <w:qFormat/>
    <w:uiPriority w:val="10"/>
    <w:pPr>
      <w:widowControl/>
      <w:ind w:firstLine="0" w:firstLineChars="0"/>
      <w:jc w:val="center"/>
    </w:pPr>
    <w:rPr>
      <w:rFonts w:ascii="华文中宋" w:eastAsia="华文中宋" w:cs="Times New Roman"/>
      <w:b/>
      <w:kern w:val="0"/>
      <w:sz w:val="44"/>
      <w:szCs w:val="44"/>
    </w:rPr>
  </w:style>
  <w:style w:type="table" w:styleId="7">
    <w:name w:val="Table Grid"/>
    <w:basedOn w:val="6"/>
    <w:qFormat/>
    <w:uiPriority w:val="0"/>
    <w:pPr>
      <w:widowControl w:val="0"/>
      <w:jc w:val="both"/>
    </w:pPr>
    <w:rPr>
      <w:rFonts w:ascii="Times New Roman" w:hAnsi="Times New Roman" w:eastAsia="宋体" w:cs="Times New Roman"/>
    </w:rPr>
    <w:tblPr>
      <w:tblStyle w:val="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uiPriority w:val="0"/>
  </w:style>
  <w:style w:type="character" w:styleId="10">
    <w:name w:val="line number"/>
    <w:basedOn w:val="8"/>
    <w:uiPriority w:val="0"/>
  </w:style>
  <w:style w:type="paragraph" w:customStyle="1" w:styleId="11">
    <w:name w:val="居中"/>
    <w:basedOn w:val="1"/>
    <w:uiPriority w:val="0"/>
    <w:pPr>
      <w:numPr>
        <w:ilvl w:val="0"/>
        <w:numId w:val="2"/>
      </w:numPr>
    </w:pPr>
  </w:style>
  <w:style w:type="paragraph" w:styleId="12">
    <w:name w:val="List Paragraph"/>
    <w:basedOn w:val="1"/>
    <w:semiHidden/>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opt/kingsoft/wps-office/office6/mui/zh_CN/templates/wps/GB9704%20electronic%20document%20templates/approval%20of%20a%20single%20chapter%20issu"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approval of a single chapter issued (downlink short signature).wpt</Template>
  <Pages>3</Pages>
  <Words>1050</Words>
  <Characters>1067</Characters>
  <Lines>8</Lines>
  <Paragraphs>2</Paragraphs>
  <TotalTime>2.33333333333333</TotalTime>
  <ScaleCrop>false</ScaleCrop>
  <LinksUpToDate>false</LinksUpToDate>
  <CharactersWithSpaces>1100</CharactersWithSpaces>
  <Application>WPS Office_11.8.2.10552_F1E327BC-269C-435d-A152-05C5408002CA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2019-03-22T07:33:00Z</dcterms:created>
  <dc:creator>陈掠</dc:creator>
  <cp:lastModifiedBy>朱腾</cp:lastModifiedBy>
  <cp:lastPrinted>2019-03-23T04:44:41Z</cp:lastPrinted>
  <dcterms:modified xsi:type="dcterms:W3CDTF">2025-06-27T10:47:09Z</dcterms:modified>
  <dc:title>No:0000001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2052-11.8.2.10552</vt:lpwstr>
  </property>
  <property fmtid="{D5CDD505-2E9C-101B-9397-08002B2CF9AE}" pid="3" name="公文模板版本">
    <vt:lpwstr>20171116</vt:lpwstr>
  </property>
</Properties>
</file>