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907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1" w:hRule="atLeast"/>
        </w:trPr>
        <w:tc>
          <w:tcPr>
            <w:tcW w:w="9075" w:type="dxa"/>
          </w:tcPr>
          <w:p>
            <w:pPr>
              <w:spacing w:line="340" w:lineRule="exact"/>
              <w:rPr>
                <w:rFonts w:hint="eastAsia" w:ascii="Times New Roman" w:hAnsi="Times New Roman" w:eastAsia="宋体" w:cs="Times New Roman"/>
                <w:color w:val="auto"/>
                <w:lang w:val="en-US" w:eastAsia="zh-CN"/>
              </w:rPr>
            </w:pPr>
            <w:r>
              <w:rPr>
                <w:rFonts w:hint="eastAsia" w:ascii="Times New Roman" w:hAnsi="Times New Roman" w:cs="Times New Roman" w:eastAsiaTheme="minorEastAsia"/>
                <w:color w:val="auto"/>
                <w:kern w:val="0"/>
                <w:szCs w:val="21"/>
                <w:lang w:val="en-US" w:eastAsia="zh-CN"/>
              </w:rPr>
              <w:t>生</w:t>
            </w:r>
            <w:r>
              <w:rPr>
                <w:rFonts w:hint="eastAsia" w:ascii="Times New Roman" w:hAnsi="Times New Roman" w:eastAsia="宋体" w:cs="Times New Roman"/>
                <w:color w:val="auto"/>
                <w:lang w:val="en-US" w:eastAsia="zh-CN"/>
              </w:rPr>
              <w:t>态环境行政主管部门审批意见：</w:t>
            </w:r>
          </w:p>
          <w:p>
            <w:pPr>
              <w:spacing w:line="34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                                                     </w:t>
            </w:r>
            <w:r>
              <w:rPr>
                <w:rFonts w:hint="eastAsia" w:cs="Times New Roman"/>
                <w:color w:val="auto"/>
                <w:lang w:val="en-US" w:eastAsia="zh-CN"/>
              </w:rPr>
              <w:t xml:space="preserve">       </w:t>
            </w:r>
            <w:bookmarkStart w:id="0" w:name="_GoBack"/>
            <w:bookmarkEnd w:id="0"/>
            <w:r>
              <w:rPr>
                <w:rFonts w:hint="eastAsia" w:ascii="Times New Roman" w:hAnsi="Times New Roman" w:eastAsia="宋体" w:cs="Times New Roman"/>
                <w:color w:val="auto"/>
                <w:lang w:val="en-US" w:eastAsia="zh-CN"/>
              </w:rPr>
              <w:t>榕台环评〔2024〕</w:t>
            </w:r>
            <w:r>
              <w:rPr>
                <w:rFonts w:hint="eastAsia" w:cs="Times New Roman"/>
                <w:color w:val="auto"/>
                <w:lang w:val="en-US" w:eastAsia="zh-CN"/>
              </w:rPr>
              <w:t>3</w:t>
            </w:r>
            <w:r>
              <w:rPr>
                <w:rFonts w:hint="eastAsia" w:ascii="Times New Roman" w:hAnsi="Times New Roman" w:eastAsia="宋体" w:cs="Times New Roman"/>
                <w:color w:val="auto"/>
                <w:lang w:val="en-US" w:eastAsia="zh-CN"/>
              </w:rPr>
              <w:t>号</w:t>
            </w:r>
          </w:p>
          <w:p>
            <w:pPr>
              <w:spacing w:line="34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福州市台江区</w:t>
            </w:r>
            <w:r>
              <w:rPr>
                <w:rFonts w:hint="eastAsia" w:cs="Times New Roman"/>
                <w:color w:val="auto"/>
                <w:lang w:val="en-US" w:eastAsia="zh-CN"/>
              </w:rPr>
              <w:t>乐派堂宠物医院有限公司</w:t>
            </w:r>
            <w:r>
              <w:rPr>
                <w:rFonts w:hint="eastAsia" w:ascii="Times New Roman" w:hAnsi="Times New Roman" w:eastAsia="宋体" w:cs="Times New Roman"/>
                <w:color w:val="auto"/>
                <w:lang w:val="en-US" w:eastAsia="zh-CN"/>
              </w:rPr>
              <w:t>报送的</w:t>
            </w:r>
            <w:r>
              <w:rPr>
                <w:rFonts w:hint="default" w:ascii="Times New Roman" w:hAnsi="Times New Roman" w:eastAsia="宋体" w:cs="Times New Roman"/>
                <w:color w:val="auto"/>
                <w:lang w:val="en-US" w:eastAsia="zh-CN"/>
              </w:rPr>
              <w:t>《</w:t>
            </w:r>
            <w:r>
              <w:rPr>
                <w:rFonts w:hint="eastAsia"/>
                <w:color w:val="auto"/>
                <w:lang w:val="en-US" w:eastAsia="zh-CN"/>
              </w:rPr>
              <w:t>福州市台江区乐派堂宠物医院有限公司宠物医院项目</w:t>
            </w:r>
            <w:r>
              <w:rPr>
                <w:rFonts w:hint="eastAsia" w:ascii="Times New Roman" w:hAnsi="Times New Roman" w:eastAsia="宋体" w:cs="Times New Roman"/>
                <w:color w:val="auto"/>
                <w:lang w:val="en-US" w:eastAsia="zh-CN"/>
              </w:rPr>
              <w:t>》（以下简称报告表）及相关申请审批的材料收悉。根据《中华人民共和国环境影响评价法》第22条等规定，现提出审批意见如下：</w:t>
            </w:r>
          </w:p>
          <w:p>
            <w:pPr>
              <w:spacing w:line="34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一、</w:t>
            </w:r>
            <w:r>
              <w:rPr>
                <w:rFonts w:hint="default" w:ascii="Times New Roman" w:hAnsi="Times New Roman" w:eastAsia="宋体" w:cs="Times New Roman"/>
                <w:color w:val="auto"/>
                <w:lang w:val="en-US" w:eastAsia="zh-CN"/>
              </w:rPr>
              <w:t>根据《报告表》评价结论：</w:t>
            </w:r>
            <w:r>
              <w:rPr>
                <w:rFonts w:hint="eastAsia" w:ascii="Times New Roman" w:hAnsi="Times New Roman" w:eastAsia="宋体" w:cs="Times New Roman"/>
                <w:color w:val="auto"/>
                <w:lang w:val="en-US" w:eastAsia="zh-CN"/>
              </w:rPr>
              <w:t>同意</w:t>
            </w:r>
            <w:r>
              <w:rPr>
                <w:rFonts w:hint="eastAsia"/>
                <w:color w:val="auto"/>
                <w:lang w:val="en-US" w:eastAsia="zh-CN"/>
              </w:rPr>
              <w:t>福州市台江区乐派堂宠物医院有限公司宠物医院项目</w:t>
            </w:r>
            <w:r>
              <w:rPr>
                <w:rFonts w:hint="eastAsia" w:ascii="Times New Roman" w:hAnsi="Times New Roman" w:eastAsia="宋体" w:cs="Times New Roman"/>
                <w:color w:val="auto"/>
                <w:lang w:val="en-US" w:eastAsia="zh-CN"/>
              </w:rPr>
              <w:t>在</w:t>
            </w:r>
            <w:r>
              <w:rPr>
                <w:rFonts w:hint="eastAsia"/>
                <w:color w:val="auto"/>
                <w:lang w:val="en-US" w:eastAsia="zh-CN"/>
              </w:rPr>
              <w:t>福州市台江区工业路193号宝龙城市广场迪厅1层02、03、04、05、06、07商铺</w:t>
            </w:r>
            <w:r>
              <w:rPr>
                <w:rFonts w:hint="eastAsia" w:ascii="Times New Roman" w:hAnsi="Times New Roman" w:eastAsia="宋体" w:cs="Times New Roman"/>
                <w:color w:val="auto"/>
                <w:lang w:val="en-US" w:eastAsia="zh-CN"/>
              </w:rPr>
              <w:t>建设，项</w:t>
            </w:r>
            <w:r>
              <w:rPr>
                <w:rFonts w:hint="default" w:ascii="Times New Roman" w:hAnsi="Times New Roman" w:eastAsia="宋体" w:cs="Times New Roman"/>
                <w:color w:val="auto"/>
                <w:lang w:val="en-US" w:eastAsia="zh-CN"/>
              </w:rPr>
              <w:t>目总投资</w:t>
            </w:r>
            <w:r>
              <w:rPr>
                <w:rFonts w:hint="eastAsia" w:cs="Times New Roman"/>
                <w:color w:val="auto"/>
                <w:lang w:val="en-US" w:eastAsia="zh-CN"/>
              </w:rPr>
              <w:t>50</w:t>
            </w:r>
            <w:r>
              <w:rPr>
                <w:rFonts w:hint="default" w:ascii="Times New Roman" w:hAnsi="Times New Roman" w:eastAsia="宋体" w:cs="Times New Roman"/>
                <w:color w:val="auto"/>
                <w:lang w:val="en-US" w:eastAsia="zh-CN"/>
              </w:rPr>
              <w:t>万元</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建筑面积</w:t>
            </w:r>
            <w:r>
              <w:rPr>
                <w:rFonts w:hint="eastAsia" w:asciiTheme="minorEastAsia" w:hAnsiTheme="minorEastAsia" w:eastAsiaTheme="minorEastAsia" w:cstheme="minorEastAsia"/>
                <w:color w:val="auto"/>
                <w:sz w:val="21"/>
                <w:szCs w:val="21"/>
                <w:lang w:val="en-US" w:eastAsia="zh-CN"/>
              </w:rPr>
              <w:t>290.41</w:t>
            </w:r>
            <w:r>
              <w:rPr>
                <w:rFonts w:hint="default" w:ascii="Times New Roman" w:hAnsi="Times New Roman" w:eastAsia="宋体" w:cs="Times New Roman"/>
                <w:color w:val="auto"/>
                <w:lang w:val="en-US" w:eastAsia="zh-CN"/>
              </w:rPr>
              <w:t>㎡。</w:t>
            </w:r>
          </w:p>
          <w:p>
            <w:pPr>
              <w:spacing w:line="34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二、</w:t>
            </w:r>
            <w:r>
              <w:rPr>
                <w:rFonts w:hint="default" w:ascii="Times New Roman" w:hAnsi="Times New Roman" w:eastAsia="宋体" w:cs="Times New Roman"/>
                <w:color w:val="auto"/>
                <w:lang w:val="en-US" w:eastAsia="zh-CN"/>
              </w:rPr>
              <w:t>项目应落实《报告表》提出的各项污染防治措施，并重点做好以下工作：</w:t>
            </w:r>
          </w:p>
          <w:p>
            <w:pPr>
              <w:spacing w:line="34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r>
              <w:rPr>
                <w:rFonts w:hint="default" w:ascii="Times New Roman" w:hAnsi="Times New Roman" w:eastAsia="宋体" w:cs="Times New Roman"/>
                <w:color w:val="auto"/>
                <w:lang w:val="en-US" w:eastAsia="zh-CN"/>
              </w:rPr>
              <w:t>废</w:t>
            </w:r>
            <w:r>
              <w:rPr>
                <w:rFonts w:hint="eastAsia" w:ascii="Times New Roman" w:hAnsi="Times New Roman" w:eastAsia="宋体" w:cs="Times New Roman"/>
                <w:color w:val="auto"/>
                <w:lang w:val="en-US" w:eastAsia="zh-CN"/>
              </w:rPr>
              <w:t>水</w:t>
            </w:r>
          </w:p>
          <w:p>
            <w:pPr>
              <w:widowControl/>
              <w:spacing w:line="240" w:lineRule="atLeast"/>
              <w:ind w:firstLine="420"/>
              <w:jc w:val="left"/>
              <w:rPr>
                <w:rFonts w:cs="宋体"/>
                <w:color w:val="auto"/>
                <w:kern w:val="2"/>
                <w:szCs w:val="24"/>
                <w:lang w:val="en-US" w:eastAsia="zh-CN"/>
              </w:rPr>
            </w:pPr>
            <w:r>
              <w:rPr>
                <w:rFonts w:hint="eastAsia" w:ascii="Times New Roman" w:hAnsi="Times New Roman" w:cs="Times New Roman"/>
                <w:color w:val="auto"/>
                <w:kern w:val="0"/>
                <w:szCs w:val="21"/>
                <w:lang w:eastAsia="zh-CN"/>
              </w:rPr>
              <w:t>本项目主要废水是</w:t>
            </w:r>
            <w:r>
              <w:rPr>
                <w:rFonts w:hint="eastAsia" w:cs="宋体"/>
                <w:color w:val="auto"/>
                <w:kern w:val="2"/>
                <w:szCs w:val="24"/>
                <w:lang w:val="en-US" w:eastAsia="zh-CN"/>
              </w:rPr>
              <w:t>生活污水、宠物美容废水、医疗废水。</w:t>
            </w:r>
            <w:r>
              <w:rPr>
                <w:rFonts w:cs="宋体"/>
                <w:color w:val="auto"/>
                <w:kern w:val="2"/>
                <w:szCs w:val="24"/>
                <w:lang w:val="en-US" w:eastAsia="zh-CN"/>
              </w:rPr>
              <w:t>医疗废水经配套的小型医疗污水一体化处理设备预处理</w:t>
            </w:r>
            <w:r>
              <w:rPr>
                <w:rFonts w:hint="eastAsia" w:cs="宋体"/>
                <w:color w:val="auto"/>
                <w:kern w:val="2"/>
                <w:szCs w:val="24"/>
                <w:lang w:val="en-US" w:eastAsia="zh-CN"/>
              </w:rPr>
              <w:t>达标</w:t>
            </w:r>
            <w:r>
              <w:rPr>
                <w:rFonts w:cs="宋体"/>
                <w:color w:val="auto"/>
                <w:kern w:val="2"/>
                <w:szCs w:val="24"/>
                <w:lang w:val="en-US" w:eastAsia="zh-CN"/>
              </w:rPr>
              <w:t>后，与生活污水</w:t>
            </w:r>
            <w:r>
              <w:rPr>
                <w:rFonts w:hint="eastAsia" w:cs="宋体"/>
                <w:color w:val="auto"/>
                <w:kern w:val="2"/>
                <w:szCs w:val="24"/>
                <w:lang w:val="en-US" w:eastAsia="zh-CN"/>
              </w:rPr>
              <w:t>、宠物美容废水</w:t>
            </w:r>
            <w:r>
              <w:rPr>
                <w:rFonts w:cs="宋体"/>
                <w:color w:val="auto"/>
                <w:kern w:val="2"/>
                <w:szCs w:val="24"/>
                <w:lang w:val="en-US" w:eastAsia="zh-CN"/>
              </w:rPr>
              <w:t>一并进入化粪池处理达到《污水综合排放标准》（GB8978-1996）表4中的三级标准排放标准（氨氮排放标准参考《污水排入城镇下水道水质标准》（GB/T31962-2015）B等级标准限值）后，排入市政管网</w:t>
            </w:r>
            <w:r>
              <w:rPr>
                <w:rFonts w:hint="eastAsia" w:cs="宋体"/>
                <w:color w:val="auto"/>
                <w:kern w:val="2"/>
                <w:szCs w:val="24"/>
                <w:lang w:val="en-US" w:eastAsia="zh-CN"/>
              </w:rPr>
              <w:t>，</w:t>
            </w:r>
            <w:r>
              <w:rPr>
                <w:rFonts w:cs="宋体"/>
                <w:color w:val="auto"/>
                <w:kern w:val="2"/>
                <w:szCs w:val="24"/>
                <w:lang w:val="en-US" w:eastAsia="zh-CN"/>
              </w:rPr>
              <w:t>统一纳入</w:t>
            </w:r>
            <w:r>
              <w:rPr>
                <w:rFonts w:hint="eastAsia" w:cs="宋体"/>
                <w:color w:val="auto"/>
                <w:kern w:val="2"/>
                <w:szCs w:val="24"/>
                <w:lang w:val="en-US" w:eastAsia="zh-CN"/>
              </w:rPr>
              <w:t>洋里</w:t>
            </w:r>
            <w:r>
              <w:rPr>
                <w:rFonts w:cs="宋体"/>
                <w:color w:val="auto"/>
                <w:kern w:val="2"/>
                <w:szCs w:val="24"/>
                <w:lang w:val="en-US" w:eastAsia="zh-CN"/>
              </w:rPr>
              <w:t>污水处理厂处理。</w:t>
            </w:r>
          </w:p>
          <w:p>
            <w:pPr>
              <w:spacing w:line="340" w:lineRule="exact"/>
              <w:ind w:firstLine="420" w:firstLineChars="20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废气</w:t>
            </w:r>
          </w:p>
          <w:p>
            <w:pPr>
              <w:widowControl/>
              <w:spacing w:line="240" w:lineRule="atLeast"/>
              <w:ind w:firstLine="420"/>
              <w:jc w:val="left"/>
              <w:rPr>
                <w:rFonts w:cs="宋体"/>
                <w:color w:val="auto"/>
                <w:kern w:val="2"/>
                <w:szCs w:val="24"/>
                <w:lang w:val="en-US" w:eastAsia="zh-CN"/>
              </w:rPr>
            </w:pPr>
            <w:r>
              <w:rPr>
                <w:rFonts w:hint="default" w:eastAsia="宋体"/>
                <w:color w:val="auto"/>
                <w:lang w:val="en-US" w:eastAsia="zh-CN"/>
              </w:rPr>
              <w:t>采用一体化封闭的污水处理设施，且设于室内，污水处理设施产生的</w:t>
            </w:r>
            <w:r>
              <w:rPr>
                <w:rFonts w:hint="eastAsia" w:eastAsia="宋体"/>
                <w:color w:val="auto"/>
                <w:lang w:val="en-US" w:eastAsia="zh-CN"/>
              </w:rPr>
              <w:t>废气达到</w:t>
            </w:r>
            <w:r>
              <w:rPr>
                <w:rFonts w:hint="eastAsia" w:eastAsia="宋体"/>
                <w:color w:val="auto"/>
                <w:lang w:eastAsia="zh-CN"/>
              </w:rPr>
              <w:t>《</w:t>
            </w:r>
            <w:r>
              <w:rPr>
                <w:rFonts w:hint="eastAsia"/>
                <w:color w:val="auto"/>
                <w:lang w:val="en-US" w:eastAsia="zh-CN"/>
              </w:rPr>
              <w:t>医疗机构水污染物排放标准</w:t>
            </w:r>
            <w:r>
              <w:rPr>
                <w:rFonts w:hint="eastAsia" w:eastAsia="宋体"/>
                <w:color w:val="auto"/>
                <w:lang w:eastAsia="zh-CN"/>
              </w:rPr>
              <w:t>》（GB18466-2005）</w:t>
            </w:r>
            <w:r>
              <w:rPr>
                <w:rFonts w:hint="eastAsia" w:eastAsia="宋体"/>
                <w:color w:val="auto"/>
                <w:lang w:val="en-US" w:eastAsia="zh-CN"/>
              </w:rPr>
              <w:t>表3污水处理站周边大气污染物最高允许浓度的标准，</w:t>
            </w:r>
            <w:r>
              <w:rPr>
                <w:rFonts w:hint="default" w:eastAsia="宋体"/>
                <w:color w:val="auto"/>
                <w:lang w:val="en-US" w:eastAsia="zh-CN"/>
              </w:rPr>
              <w:t>对周边大气环境无显著影响。</w:t>
            </w:r>
            <w:r>
              <w:rPr>
                <w:rFonts w:cs="宋体"/>
                <w:color w:val="auto"/>
                <w:kern w:val="2"/>
                <w:szCs w:val="24"/>
                <w:lang w:val="en-US" w:eastAsia="zh-CN"/>
              </w:rPr>
              <w:t>对宠物产生的粪便及时清理，美容室、洗浴室、住院室进行定期清洁消毒，产生的臭味小。通过采取安装新风系统加强通风换气及摆放除臭剂等措施后宠物散发的臭味可得到有效控制，对周边大气环境无显著影响。</w:t>
            </w:r>
          </w:p>
          <w:p>
            <w:pPr>
              <w:spacing w:line="340" w:lineRule="exact"/>
              <w:ind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w:t>
            </w:r>
            <w:r>
              <w:rPr>
                <w:rFonts w:hint="default" w:ascii="Times New Roman" w:hAnsi="Times New Roman" w:eastAsia="宋体" w:cs="Times New Roman"/>
                <w:color w:val="auto"/>
                <w:lang w:val="en-US" w:eastAsia="zh-CN"/>
              </w:rPr>
              <w:t>噪声</w:t>
            </w:r>
          </w:p>
          <w:p>
            <w:pPr>
              <w:widowControl/>
              <w:spacing w:line="240" w:lineRule="atLeast"/>
              <w:ind w:firstLine="420"/>
              <w:jc w:val="left"/>
              <w:rPr>
                <w:rFonts w:hint="eastAsia" w:cs="宋体"/>
                <w:color w:val="auto"/>
                <w:kern w:val="2"/>
                <w:szCs w:val="24"/>
                <w:lang w:val="en-US" w:eastAsia="zh-CN"/>
              </w:rPr>
            </w:pPr>
            <w:r>
              <w:rPr>
                <w:rFonts w:hint="eastAsia" w:ascii="Times New Roman" w:hAnsi="Times New Roman" w:cs="Times New Roman"/>
                <w:color w:val="auto"/>
                <w:kern w:val="0"/>
                <w:szCs w:val="21"/>
                <w:lang w:val="en-US" w:eastAsia="zh-CN"/>
              </w:rPr>
              <w:t>本项目运营期间产生的噪声主要来自宠物叫声。</w:t>
            </w:r>
            <w:r>
              <w:rPr>
                <w:rFonts w:ascii="Times New Roman" w:hAnsi="Times New Roman" w:eastAsia="宋体" w:cs="Times New Roman"/>
                <w:color w:val="auto"/>
                <w:szCs w:val="24"/>
              </w:rPr>
              <w:t>宠物叫声具有不定时性和突发性</w:t>
            </w:r>
            <w:r>
              <w:rPr>
                <w:rFonts w:hint="eastAsia" w:ascii="Times New Roman" w:hAnsi="Times New Roman" w:eastAsia="宋体" w:cs="Times New Roman"/>
                <w:color w:val="auto"/>
                <w:szCs w:val="24"/>
                <w:lang w:eastAsia="zh-CN"/>
              </w:rPr>
              <w:t>，</w:t>
            </w:r>
            <w:r>
              <w:rPr>
                <w:rFonts w:ascii="Times New Roman" w:hAnsi="Times New Roman" w:eastAsia="宋体" w:cs="Times New Roman"/>
                <w:color w:val="auto"/>
                <w:szCs w:val="24"/>
              </w:rPr>
              <w:t>工作人员应合理喂食</w:t>
            </w:r>
            <w:r>
              <w:rPr>
                <w:rFonts w:hint="eastAsia" w:ascii="Times New Roman" w:hAnsi="Times New Roman" w:eastAsia="宋体" w:cs="Times New Roman"/>
                <w:color w:val="auto"/>
                <w:szCs w:val="24"/>
                <w:lang w:eastAsia="zh-CN"/>
              </w:rPr>
              <w:t>；</w:t>
            </w:r>
            <w:r>
              <w:rPr>
                <w:rFonts w:hint="eastAsia" w:cs="宋体"/>
                <w:color w:val="auto"/>
                <w:kern w:val="2"/>
                <w:szCs w:val="24"/>
                <w:lang w:val="en-US" w:eastAsia="zh-CN"/>
              </w:rPr>
              <w:t>由于住院部与居民区间全墙体阻隔，在靠近住院部内侧墙体设置吸音棉阻隔噪声，对病房采取一定的隔声减噪措施。经过距离衰减，再经过墙体衰减后[一般可削减10－15dB(A)]，北侧边界噪声的排放可符合《社会生活环境噪声排放标准》（GB22337-2008）中表1中的4类标准，其余边界噪声的排放可符合《社会生活环境噪声排放标准》（GB22337-2008）中表1中的2类标准，对周围环境的影响不大。</w:t>
            </w:r>
          </w:p>
          <w:p>
            <w:pPr>
              <w:spacing w:line="340" w:lineRule="exact"/>
              <w:ind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w:t>
            </w:r>
            <w:r>
              <w:rPr>
                <w:rFonts w:hint="default" w:ascii="Times New Roman" w:hAnsi="Times New Roman" w:eastAsia="宋体" w:cs="Times New Roman"/>
                <w:color w:val="auto"/>
                <w:lang w:val="en-US" w:eastAsia="zh-CN"/>
              </w:rPr>
              <w:t>固废</w:t>
            </w:r>
          </w:p>
          <w:p>
            <w:pPr>
              <w:widowControl/>
              <w:spacing w:line="240" w:lineRule="atLeast"/>
              <w:ind w:firstLine="420"/>
              <w:jc w:val="left"/>
              <w:rPr>
                <w:rFonts w:hint="eastAsia" w:cs="宋体"/>
                <w:color w:val="auto"/>
                <w:kern w:val="2"/>
                <w:szCs w:val="24"/>
                <w:lang w:val="en-US" w:eastAsia="zh-CN"/>
              </w:rPr>
            </w:pPr>
            <w:r>
              <w:rPr>
                <w:rFonts w:hint="eastAsia" w:cs="宋体"/>
                <w:color w:val="auto"/>
                <w:kern w:val="2"/>
                <w:szCs w:val="24"/>
                <w:lang w:val="en-US" w:eastAsia="zh-CN"/>
              </w:rPr>
              <w:t>本项目医疗废物暂存于医疗废物暂存间中，每两个月进行委托有资质的危废处置单位处置；废水处理产生的污泥每年定期清掏一次，同医疗废物暂存于医疗废物暂存间中，委托有资质的单位处置。运营期内产生的危险废物（医疗废物、污水处理污泥）参照《危险废物贮存污染控制标准》（GB18597-2023）中的要求进行暂存管理，医疗废物执行《医疗卫生机构医疗废物管理办法》（中华人民共和国卫生部令第36号）中的相关规定。生活垃圾统一收集后委托当地环卫部门处置，处置执行《中华人民共和国固体废物污染环境防治法》（2020年4月29日修订版）的相关规定。</w:t>
            </w:r>
          </w:p>
          <w:p>
            <w:pPr>
              <w:widowControl/>
              <w:spacing w:line="240" w:lineRule="atLeast"/>
              <w:ind w:firstLine="420"/>
              <w:jc w:val="left"/>
              <w:rPr>
                <w:rFonts w:hint="eastAsia" w:ascii="Times New Roman" w:hAnsi="Times New Roman" w:eastAsia="宋体" w:cs="Times New Roman"/>
                <w:color w:val="auto"/>
                <w:lang w:val="en-US" w:eastAsia="zh-CN"/>
              </w:rPr>
            </w:pPr>
            <w:r>
              <w:rPr>
                <w:rFonts w:hint="eastAsia" w:cs="Times New Roman"/>
                <w:color w:val="auto"/>
                <w:lang w:val="en-US" w:eastAsia="zh-CN"/>
              </w:rPr>
              <w:t>三</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建设单位</w:t>
            </w:r>
            <w:r>
              <w:rPr>
                <w:rFonts w:hint="eastAsia" w:ascii="Times New Roman" w:hAnsi="Times New Roman" w:eastAsia="宋体" w:cs="Times New Roman"/>
                <w:color w:val="auto"/>
                <w:lang w:val="en-US" w:eastAsia="zh-CN"/>
              </w:rPr>
              <w:t>应</w:t>
            </w:r>
            <w:r>
              <w:rPr>
                <w:rFonts w:hint="default" w:ascii="Times New Roman" w:hAnsi="Times New Roman" w:eastAsia="宋体" w:cs="Times New Roman"/>
                <w:color w:val="auto"/>
                <w:lang w:val="en-US" w:eastAsia="zh-CN"/>
              </w:rPr>
              <w:t>严格落实环保“三同时”制度，认真落实报告表提出的各项环保对策措施，加强环境管理与监测，从环境保护角度分析，项目的建设是可行的。</w:t>
            </w:r>
            <w:r>
              <w:rPr>
                <w:rFonts w:hint="eastAsia" w:ascii="Times New Roman" w:hAnsi="Times New Roman" w:eastAsia="宋体" w:cs="Times New Roman"/>
                <w:color w:val="auto"/>
                <w:lang w:val="en-US" w:eastAsia="zh-CN"/>
              </w:rPr>
              <w:t xml:space="preserve">我局委托福州市台江生态环境保护综合执法大队开展项目环保“三同时”监督监察和竣工环保验收后的日常环保监督管理工作。    </w:t>
            </w:r>
          </w:p>
          <w:p>
            <w:pPr>
              <w:spacing w:line="340" w:lineRule="exact"/>
              <w:ind w:firstLine="420" w:firstLineChars="20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经办人: </w:t>
            </w:r>
            <w:r>
              <w:rPr>
                <w:rFonts w:hint="eastAsia" w:ascii="Times New Roman" w:hAnsi="Times New Roman" w:eastAsia="宋体" w:cs="Times New Roman"/>
                <w:color w:val="auto"/>
                <w:lang w:val="en-US" w:eastAsia="zh-CN"/>
              </w:rPr>
              <w:t xml:space="preserve">                                                       </w:t>
            </w:r>
          </w:p>
          <w:p>
            <w:pPr>
              <w:spacing w:line="34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       </w:t>
            </w:r>
          </w:p>
          <w:p>
            <w:pPr>
              <w:spacing w:line="34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                   </w:t>
            </w:r>
            <w:r>
              <w:rPr>
                <w:rFonts w:hint="eastAsia" w:eastAsia="宋体" w:cs="Times New Roman"/>
                <w:color w:val="auto"/>
                <w:lang w:val="en-US" w:eastAsia="zh-CN"/>
              </w:rPr>
              <w:t xml:space="preserve">                                         </w:t>
            </w:r>
            <w:r>
              <w:rPr>
                <w:rFonts w:hint="eastAsia" w:ascii="Times New Roman" w:hAnsi="Times New Roman" w:eastAsia="宋体" w:cs="Times New Roman"/>
                <w:color w:val="auto"/>
                <w:lang w:val="en-US" w:eastAsia="zh-CN"/>
              </w:rPr>
              <w:t>福州市生态环境局</w:t>
            </w:r>
          </w:p>
          <w:p>
            <w:pPr>
              <w:spacing w:line="340" w:lineRule="exact"/>
              <w:ind w:firstLine="420" w:firstLineChars="200"/>
              <w:rPr>
                <w:rFonts w:hint="eastAsia" w:ascii="Times New Roman" w:hAnsi="Times New Roman" w:cs="Times New Roman" w:eastAsiaTheme="minorEastAsia"/>
                <w:color w:val="auto"/>
                <w:kern w:val="0"/>
                <w:szCs w:val="21"/>
                <w:lang w:val="en-US" w:eastAsia="zh-CN"/>
              </w:rPr>
            </w:pPr>
            <w:r>
              <w:rPr>
                <w:rFonts w:hint="eastAsia" w:ascii="Times New Roman" w:hAnsi="Times New Roman" w:eastAsia="宋体" w:cs="Times New Roman"/>
                <w:color w:val="auto"/>
                <w:lang w:val="en-US" w:eastAsia="zh-CN"/>
              </w:rPr>
              <w:t xml:space="preserve">                                                            2024年6月</w:t>
            </w:r>
            <w:r>
              <w:rPr>
                <w:rFonts w:hint="eastAsia" w:cs="Times New Roman"/>
                <w:color w:val="auto"/>
                <w:lang w:val="en-US" w:eastAsia="zh-CN"/>
              </w:rPr>
              <w:t>25</w:t>
            </w:r>
            <w:r>
              <w:rPr>
                <w:rFonts w:hint="eastAsia" w:ascii="Times New Roman" w:hAnsi="Times New Roman" w:eastAsia="宋体" w:cs="Times New Roman"/>
                <w:lang w:val="en-US" w:eastAsia="zh-CN"/>
              </w:rPr>
              <w:t>日</w:t>
            </w:r>
          </w:p>
        </w:tc>
      </w:tr>
    </w:tbl>
    <w:p/>
    <w:sectPr>
      <w:pgSz w:w="11906" w:h="16838"/>
      <w:pgMar w:top="567" w:right="1757" w:bottom="56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3Y2U0YzUxMTAyYzMwMDE4N2Q2MDVkN2M1ZTZlMWYifQ=="/>
  </w:docVars>
  <w:rsids>
    <w:rsidRoot w:val="002F0253"/>
    <w:rsid w:val="00000F1B"/>
    <w:rsid w:val="00027900"/>
    <w:rsid w:val="00040802"/>
    <w:rsid w:val="00056B19"/>
    <w:rsid w:val="00060B0F"/>
    <w:rsid w:val="000822E5"/>
    <w:rsid w:val="00084B57"/>
    <w:rsid w:val="000A4F9D"/>
    <w:rsid w:val="000E3A05"/>
    <w:rsid w:val="000E6217"/>
    <w:rsid w:val="001116E3"/>
    <w:rsid w:val="00112EEF"/>
    <w:rsid w:val="00116771"/>
    <w:rsid w:val="00127CF7"/>
    <w:rsid w:val="00135638"/>
    <w:rsid w:val="00183C03"/>
    <w:rsid w:val="0018662E"/>
    <w:rsid w:val="001B1F54"/>
    <w:rsid w:val="001E1BB0"/>
    <w:rsid w:val="001F6A01"/>
    <w:rsid w:val="00202671"/>
    <w:rsid w:val="002545A3"/>
    <w:rsid w:val="0028478D"/>
    <w:rsid w:val="00286BBE"/>
    <w:rsid w:val="00287E08"/>
    <w:rsid w:val="002914D1"/>
    <w:rsid w:val="002A4F8A"/>
    <w:rsid w:val="002D279D"/>
    <w:rsid w:val="002E3E43"/>
    <w:rsid w:val="002F0253"/>
    <w:rsid w:val="00307DDD"/>
    <w:rsid w:val="00374D27"/>
    <w:rsid w:val="003B0E8C"/>
    <w:rsid w:val="003B3C8B"/>
    <w:rsid w:val="003E2FAB"/>
    <w:rsid w:val="00404652"/>
    <w:rsid w:val="004350A2"/>
    <w:rsid w:val="00465327"/>
    <w:rsid w:val="00481832"/>
    <w:rsid w:val="00487A0E"/>
    <w:rsid w:val="004C0829"/>
    <w:rsid w:val="004D4956"/>
    <w:rsid w:val="00517E3C"/>
    <w:rsid w:val="005223CA"/>
    <w:rsid w:val="00531CB3"/>
    <w:rsid w:val="005463DC"/>
    <w:rsid w:val="00554353"/>
    <w:rsid w:val="00556226"/>
    <w:rsid w:val="005769C3"/>
    <w:rsid w:val="005A3870"/>
    <w:rsid w:val="005C0066"/>
    <w:rsid w:val="005D451E"/>
    <w:rsid w:val="005E4C3C"/>
    <w:rsid w:val="006454BB"/>
    <w:rsid w:val="00656E24"/>
    <w:rsid w:val="006E4402"/>
    <w:rsid w:val="006F3ED5"/>
    <w:rsid w:val="00704E36"/>
    <w:rsid w:val="00777100"/>
    <w:rsid w:val="00777FBD"/>
    <w:rsid w:val="00783107"/>
    <w:rsid w:val="007912BA"/>
    <w:rsid w:val="007A5317"/>
    <w:rsid w:val="007B22D3"/>
    <w:rsid w:val="007C1411"/>
    <w:rsid w:val="007C1430"/>
    <w:rsid w:val="007C1902"/>
    <w:rsid w:val="007C7A35"/>
    <w:rsid w:val="007F1B5A"/>
    <w:rsid w:val="00816ECF"/>
    <w:rsid w:val="00840AE9"/>
    <w:rsid w:val="00850B33"/>
    <w:rsid w:val="00863B58"/>
    <w:rsid w:val="00894996"/>
    <w:rsid w:val="008C451A"/>
    <w:rsid w:val="008C532C"/>
    <w:rsid w:val="008D022A"/>
    <w:rsid w:val="008E5015"/>
    <w:rsid w:val="008F5B5B"/>
    <w:rsid w:val="0092135D"/>
    <w:rsid w:val="00921439"/>
    <w:rsid w:val="00932133"/>
    <w:rsid w:val="009404DF"/>
    <w:rsid w:val="0094364D"/>
    <w:rsid w:val="009B4650"/>
    <w:rsid w:val="009E1327"/>
    <w:rsid w:val="00A46F9B"/>
    <w:rsid w:val="00A673A7"/>
    <w:rsid w:val="00A72BB6"/>
    <w:rsid w:val="00AD4BB2"/>
    <w:rsid w:val="00AE2824"/>
    <w:rsid w:val="00B3396C"/>
    <w:rsid w:val="00B42CA2"/>
    <w:rsid w:val="00B7188C"/>
    <w:rsid w:val="00BD0546"/>
    <w:rsid w:val="00BE5DF9"/>
    <w:rsid w:val="00C063A1"/>
    <w:rsid w:val="00C2593A"/>
    <w:rsid w:val="00C3174B"/>
    <w:rsid w:val="00C34B7A"/>
    <w:rsid w:val="00C36599"/>
    <w:rsid w:val="00C41158"/>
    <w:rsid w:val="00D26826"/>
    <w:rsid w:val="00D32031"/>
    <w:rsid w:val="00D42EDE"/>
    <w:rsid w:val="00D43C2B"/>
    <w:rsid w:val="00D502EC"/>
    <w:rsid w:val="00D57B9B"/>
    <w:rsid w:val="00D94BA2"/>
    <w:rsid w:val="00DF6E20"/>
    <w:rsid w:val="00E00DF2"/>
    <w:rsid w:val="00E25C4A"/>
    <w:rsid w:val="00E56C8B"/>
    <w:rsid w:val="00E933D0"/>
    <w:rsid w:val="00E969EA"/>
    <w:rsid w:val="00E96D5E"/>
    <w:rsid w:val="00EB3751"/>
    <w:rsid w:val="00EE2A0E"/>
    <w:rsid w:val="00EE7301"/>
    <w:rsid w:val="00F03E62"/>
    <w:rsid w:val="00F70735"/>
    <w:rsid w:val="00F73B0F"/>
    <w:rsid w:val="00FA2BA3"/>
    <w:rsid w:val="00FC3CF3"/>
    <w:rsid w:val="03F73BAF"/>
    <w:rsid w:val="041B3BAA"/>
    <w:rsid w:val="050E4732"/>
    <w:rsid w:val="06631998"/>
    <w:rsid w:val="08F42CA5"/>
    <w:rsid w:val="0AE47146"/>
    <w:rsid w:val="0F131F4D"/>
    <w:rsid w:val="118434AB"/>
    <w:rsid w:val="124F10E5"/>
    <w:rsid w:val="147F4BBF"/>
    <w:rsid w:val="16104E59"/>
    <w:rsid w:val="18473978"/>
    <w:rsid w:val="1AF91B00"/>
    <w:rsid w:val="1B5D1E74"/>
    <w:rsid w:val="1C486990"/>
    <w:rsid w:val="1DD173D9"/>
    <w:rsid w:val="1F562CD8"/>
    <w:rsid w:val="250B2A77"/>
    <w:rsid w:val="251E1509"/>
    <w:rsid w:val="254A2079"/>
    <w:rsid w:val="27844BB0"/>
    <w:rsid w:val="2A1E075D"/>
    <w:rsid w:val="2A2A7127"/>
    <w:rsid w:val="2B1449BC"/>
    <w:rsid w:val="2C7911D6"/>
    <w:rsid w:val="2F355876"/>
    <w:rsid w:val="2F834982"/>
    <w:rsid w:val="33780CF4"/>
    <w:rsid w:val="36EB6276"/>
    <w:rsid w:val="38EB604F"/>
    <w:rsid w:val="3AA01AB2"/>
    <w:rsid w:val="3BF122DD"/>
    <w:rsid w:val="3FD75D85"/>
    <w:rsid w:val="40D70CC1"/>
    <w:rsid w:val="41BB286D"/>
    <w:rsid w:val="4253255E"/>
    <w:rsid w:val="443A3632"/>
    <w:rsid w:val="46D540D8"/>
    <w:rsid w:val="4A897868"/>
    <w:rsid w:val="4E2E0EA5"/>
    <w:rsid w:val="4E4A7E00"/>
    <w:rsid w:val="559C6BD9"/>
    <w:rsid w:val="574C11EA"/>
    <w:rsid w:val="59D253EF"/>
    <w:rsid w:val="5D802B99"/>
    <w:rsid w:val="5FD7A097"/>
    <w:rsid w:val="680A43A3"/>
    <w:rsid w:val="69F83B0B"/>
    <w:rsid w:val="6A0D3843"/>
    <w:rsid w:val="6BBD5B5B"/>
    <w:rsid w:val="6CC877B5"/>
    <w:rsid w:val="705F3DAE"/>
    <w:rsid w:val="71F63242"/>
    <w:rsid w:val="769FF995"/>
    <w:rsid w:val="79E42C79"/>
    <w:rsid w:val="7A340E15"/>
    <w:rsid w:val="7FB5D9C1"/>
    <w:rsid w:val="A777D393"/>
    <w:rsid w:val="EADEEE77"/>
    <w:rsid w:val="FFF35B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3"/>
    <w:next w:val="1"/>
    <w:qFormat/>
    <w:uiPriority w:val="0"/>
    <w:pPr>
      <w:keepNext/>
      <w:keepLines/>
      <w:spacing w:beforeLines="0" w:beforeAutospacing="0" w:afterLines="0" w:afterAutospacing="0" w:line="360" w:lineRule="auto"/>
      <w:ind w:left="431" w:hanging="431"/>
      <w:jc w:val="left"/>
      <w:outlineLvl w:val="1"/>
    </w:pPr>
    <w:rPr>
      <w:rFonts w:ascii="Times New Roman" w:hAnsi="Times New Roman" w:eastAsia="宋体"/>
      <w:sz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4">
    <w:name w:val="Note Heading"/>
    <w:basedOn w:val="1"/>
    <w:next w:val="1"/>
    <w:qFormat/>
    <w:uiPriority w:val="0"/>
    <w:pPr>
      <w:spacing w:line="360" w:lineRule="auto"/>
      <w:ind w:firstLine="200" w:firstLineChars="200"/>
      <w:jc w:val="center"/>
    </w:pPr>
    <w:rPr>
      <w:sz w:val="24"/>
      <w:szCs w:val="20"/>
    </w:rPr>
  </w:style>
  <w:style w:type="paragraph" w:styleId="5">
    <w:name w:val="Normal Indent"/>
    <w:basedOn w:val="1"/>
    <w:next w:val="1"/>
    <w:qFormat/>
    <w:uiPriority w:val="0"/>
    <w:pPr>
      <w:ind w:firstLine="420"/>
    </w:pPr>
  </w:style>
  <w:style w:type="paragraph" w:styleId="6">
    <w:name w:val="annotation text"/>
    <w:basedOn w:val="1"/>
    <w:link w:val="31"/>
    <w:unhideWhenUsed/>
    <w:qFormat/>
    <w:uiPriority w:val="99"/>
    <w:pPr>
      <w:jc w:val="left"/>
    </w:pPr>
  </w:style>
  <w:style w:type="paragraph" w:styleId="7">
    <w:name w:val="Body Text"/>
    <w:basedOn w:val="1"/>
    <w:next w:val="4"/>
    <w:qFormat/>
    <w:uiPriority w:val="0"/>
    <w:pPr>
      <w:widowControl/>
      <w:snapToGrid w:val="0"/>
      <w:spacing w:before="60" w:after="160" w:line="259" w:lineRule="auto"/>
      <w:ind w:right="113"/>
    </w:pPr>
    <w:rPr>
      <w:kern w:val="0"/>
      <w:sz w:val="18"/>
      <w:szCs w:val="20"/>
    </w:rPr>
  </w:style>
  <w:style w:type="paragraph" w:styleId="8">
    <w:name w:val="Body Text Indent"/>
    <w:basedOn w:val="1"/>
    <w:next w:val="9"/>
    <w:link w:val="28"/>
    <w:qFormat/>
    <w:uiPriority w:val="0"/>
    <w:pPr>
      <w:spacing w:after="120"/>
      <w:ind w:left="420" w:leftChars="200"/>
    </w:pPr>
  </w:style>
  <w:style w:type="paragraph" w:styleId="9">
    <w:name w:val="Body Text First Indent 2"/>
    <w:basedOn w:val="8"/>
    <w:next w:val="10"/>
    <w:unhideWhenUsed/>
    <w:qFormat/>
    <w:uiPriority w:val="99"/>
    <w:pPr>
      <w:spacing w:line="360" w:lineRule="auto"/>
      <w:ind w:left="0" w:leftChars="0" w:firstLine="1044" w:firstLineChars="200"/>
    </w:pPr>
    <w:rPr>
      <w:kern w:val="2"/>
    </w:rPr>
  </w:style>
  <w:style w:type="paragraph" w:customStyle="1" w:styleId="10">
    <w:name w:val="Default"/>
    <w:basedOn w:val="11"/>
    <w:next w:val="12"/>
    <w:qFormat/>
    <w:uiPriority w:val="0"/>
    <w:pPr>
      <w:autoSpaceDE w:val="0"/>
      <w:autoSpaceDN w:val="0"/>
      <w:adjustRightInd w:val="0"/>
    </w:pPr>
    <w:rPr>
      <w:rFonts w:ascii="黑体" w:hAnsi="Calibri" w:eastAsia="黑体" w:cs="黑体"/>
      <w:color w:val="000000"/>
      <w:sz w:val="24"/>
      <w:szCs w:val="24"/>
      <w:lang w:eastAsia="zh-CN"/>
    </w:rPr>
  </w:style>
  <w:style w:type="paragraph" w:customStyle="1" w:styleId="11">
    <w:name w:val="纯文本1"/>
    <w:basedOn w:val="1"/>
    <w:qFormat/>
    <w:uiPriority w:val="0"/>
    <w:pPr>
      <w:suppressAutoHyphens/>
      <w:snapToGrid w:val="0"/>
      <w:spacing w:line="400" w:lineRule="exact"/>
    </w:pPr>
    <w:rPr>
      <w:rFonts w:ascii="宋体" w:hAnsi="宋体"/>
      <w:kern w:val="1"/>
      <w:sz w:val="21"/>
      <w:szCs w:val="21"/>
      <w:lang w:eastAsia="ar-SA"/>
    </w:rPr>
  </w:style>
  <w:style w:type="paragraph" w:customStyle="1" w:styleId="12">
    <w:name w:val="样式35"/>
    <w:next w:val="1"/>
    <w:qFormat/>
    <w:uiPriority w:val="0"/>
    <w:pPr>
      <w:widowControl w:val="0"/>
      <w:spacing w:line="312" w:lineRule="auto"/>
      <w:ind w:firstLine="567"/>
      <w:jc w:val="both"/>
    </w:pPr>
    <w:rPr>
      <w:rFonts w:ascii="宋体" w:hAnsi="Calibri" w:eastAsia="宋体" w:cs="宋体"/>
      <w:kern w:val="2"/>
      <w:sz w:val="28"/>
      <w:lang w:val="en-US" w:eastAsia="zh-CN" w:bidi="ar-SA"/>
    </w:rPr>
  </w:style>
  <w:style w:type="paragraph" w:styleId="13">
    <w:name w:val="Balloon Text"/>
    <w:basedOn w:val="1"/>
    <w:link w:val="30"/>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rPr>
      <w:sz w:val="24"/>
    </w:rPr>
  </w:style>
  <w:style w:type="paragraph" w:styleId="17">
    <w:name w:val="annotation subject"/>
    <w:basedOn w:val="6"/>
    <w:next w:val="6"/>
    <w:link w:val="32"/>
    <w:unhideWhenUsed/>
    <w:qFormat/>
    <w:uiPriority w:val="99"/>
    <w:rPr>
      <w:b/>
      <w:bCs/>
    </w:rPr>
  </w:style>
  <w:style w:type="paragraph" w:styleId="18">
    <w:name w:val="Body Text First Indent"/>
    <w:basedOn w:val="7"/>
    <w:next w:val="1"/>
    <w:qFormat/>
    <w:uiPriority w:val="0"/>
    <w:pPr>
      <w:widowControl w:val="0"/>
      <w:snapToGrid/>
      <w:spacing w:before="0" w:after="120" w:line="360" w:lineRule="auto"/>
      <w:ind w:right="0" w:firstLine="200" w:firstLineChars="200"/>
    </w:pPr>
    <w:rPr>
      <w:snapToGrid w:val="0"/>
      <w:color w:val="000000"/>
      <w:kern w:val="2"/>
      <w:sz w:val="24"/>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unhideWhenUsed/>
    <w:qFormat/>
    <w:uiPriority w:val="99"/>
    <w:rPr>
      <w:sz w:val="21"/>
      <w:szCs w:val="21"/>
    </w:rPr>
  </w:style>
  <w:style w:type="paragraph" w:customStyle="1" w:styleId="23">
    <w:name w:val="正文(首行缩进)"/>
    <w:basedOn w:val="1"/>
    <w:qFormat/>
    <w:uiPriority w:val="0"/>
    <w:pPr>
      <w:spacing w:line="360" w:lineRule="auto"/>
      <w:ind w:firstLine="480" w:firstLineChars="200"/>
    </w:pPr>
    <w:rPr>
      <w:rFonts w:ascii="宋体" w:hAnsi="宋体"/>
      <w:color w:val="000000"/>
      <w:kern w:val="24"/>
      <w:szCs w:val="20"/>
    </w:rPr>
  </w:style>
  <w:style w:type="character" w:customStyle="1" w:styleId="24">
    <w:name w:val="页眉 Char"/>
    <w:basedOn w:val="21"/>
    <w:link w:val="15"/>
    <w:qFormat/>
    <w:uiPriority w:val="99"/>
    <w:rPr>
      <w:sz w:val="18"/>
      <w:szCs w:val="18"/>
    </w:rPr>
  </w:style>
  <w:style w:type="character" w:customStyle="1" w:styleId="25">
    <w:name w:val="页脚 Char"/>
    <w:basedOn w:val="21"/>
    <w:link w:val="14"/>
    <w:qFormat/>
    <w:uiPriority w:val="99"/>
    <w:rPr>
      <w:sz w:val="18"/>
      <w:szCs w:val="18"/>
    </w:rPr>
  </w:style>
  <w:style w:type="paragraph" w:customStyle="1" w:styleId="26">
    <w:name w:val="List Paragraph"/>
    <w:basedOn w:val="1"/>
    <w:qFormat/>
    <w:uiPriority w:val="99"/>
    <w:pPr>
      <w:ind w:firstLine="420" w:firstLineChars="200"/>
    </w:pPr>
  </w:style>
  <w:style w:type="paragraph" w:customStyle="1" w:styleId="27">
    <w:name w:val="表格内容"/>
    <w:basedOn w:val="1"/>
    <w:next w:val="7"/>
    <w:qFormat/>
    <w:uiPriority w:val="0"/>
    <w:pPr>
      <w:adjustRightInd w:val="0"/>
      <w:snapToGrid w:val="0"/>
      <w:jc w:val="center"/>
    </w:pPr>
    <w:rPr>
      <w:snapToGrid w:val="0"/>
      <w:szCs w:val="18"/>
    </w:rPr>
  </w:style>
  <w:style w:type="character" w:customStyle="1" w:styleId="28">
    <w:name w:val="正文文本缩进 Char"/>
    <w:basedOn w:val="21"/>
    <w:link w:val="8"/>
    <w:qFormat/>
    <w:uiPriority w:val="0"/>
    <w:rPr>
      <w:kern w:val="2"/>
      <w:sz w:val="21"/>
    </w:rPr>
  </w:style>
  <w:style w:type="paragraph" w:customStyle="1" w:styleId="29">
    <w:name w:val="Char"/>
    <w:basedOn w:val="1"/>
    <w:qFormat/>
    <w:uiPriority w:val="0"/>
    <w:pPr>
      <w:spacing w:line="360" w:lineRule="auto"/>
    </w:pPr>
    <w:rPr>
      <w:szCs w:val="24"/>
    </w:rPr>
  </w:style>
  <w:style w:type="character" w:customStyle="1" w:styleId="30">
    <w:name w:val="批注框文本 Char"/>
    <w:basedOn w:val="21"/>
    <w:link w:val="13"/>
    <w:semiHidden/>
    <w:qFormat/>
    <w:uiPriority w:val="99"/>
    <w:rPr>
      <w:kern w:val="2"/>
      <w:sz w:val="18"/>
      <w:szCs w:val="18"/>
    </w:rPr>
  </w:style>
  <w:style w:type="character" w:customStyle="1" w:styleId="31">
    <w:name w:val="批注文字 Char"/>
    <w:basedOn w:val="21"/>
    <w:link w:val="6"/>
    <w:semiHidden/>
    <w:qFormat/>
    <w:uiPriority w:val="99"/>
    <w:rPr>
      <w:kern w:val="2"/>
      <w:sz w:val="21"/>
    </w:rPr>
  </w:style>
  <w:style w:type="character" w:customStyle="1" w:styleId="32">
    <w:name w:val="批注主题 Char"/>
    <w:basedOn w:val="31"/>
    <w:link w:val="17"/>
    <w:semiHidden/>
    <w:qFormat/>
    <w:uiPriority w:val="99"/>
    <w:rPr>
      <w:b/>
      <w:bCs/>
    </w:rPr>
  </w:style>
  <w:style w:type="paragraph" w:customStyle="1" w:styleId="33">
    <w:name w:val="正文（小四）"/>
    <w:qFormat/>
    <w:uiPriority w:val="0"/>
    <w:pPr>
      <w:spacing w:line="360" w:lineRule="auto"/>
      <w:ind w:firstLine="200" w:firstLineChars="200"/>
      <w:jc w:val="both"/>
    </w:pPr>
    <w:rPr>
      <w:rFonts w:ascii="Times New Roman" w:hAnsi="Times New Roman" w:eastAsia="宋体" w:cs="Times New Roman"/>
      <w:bCs/>
      <w:color w:val="000000"/>
      <w:kern w:val="2"/>
      <w:sz w:val="24"/>
      <w:szCs w:val="32"/>
      <w:lang w:val="en-US" w:eastAsia="zh-CN" w:bidi="ar-SA"/>
    </w:rPr>
  </w:style>
  <w:style w:type="paragraph" w:customStyle="1" w:styleId="34">
    <w:name w:val="1正文（chuan）"/>
    <w:basedOn w:val="1"/>
    <w:qFormat/>
    <w:uiPriority w:val="0"/>
    <w:pPr>
      <w:spacing w:line="360" w:lineRule="auto"/>
      <w:ind w:firstLine="480" w:firstLineChars="200"/>
    </w:pPr>
    <w:rPr>
      <w:kern w:val="0"/>
      <w:sz w:val="24"/>
      <w:szCs w:val="20"/>
    </w:rPr>
  </w:style>
  <w:style w:type="paragraph" w:customStyle="1" w:styleId="35">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36">
    <w:name w:val="表格名称"/>
    <w:basedOn w:val="1"/>
    <w:next w:val="1"/>
    <w:qFormat/>
    <w:uiPriority w:val="0"/>
    <w:pPr>
      <w:spacing w:line="360" w:lineRule="auto"/>
      <w:jc w:val="center"/>
    </w:pPr>
    <w:rPr>
      <w:rFonts w:asciiTheme="minorHAnsi" w:hAnsiTheme="minorHAnsi" w:cstheme="minorBidi"/>
      <w:b/>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1</Pages>
  <Words>1381</Words>
  <Characters>1535</Characters>
  <Lines>10</Lines>
  <Paragraphs>2</Paragraphs>
  <TotalTime>2</TotalTime>
  <ScaleCrop>false</ScaleCrop>
  <LinksUpToDate>false</LinksUpToDate>
  <CharactersWithSpaces>1747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2021-05-16T00:42:00Z</dcterms:created>
  <dc:creator>User</dc:creator>
  <cp:lastModifiedBy>Shirley</cp:lastModifiedBy>
  <cp:lastPrinted>2023-06-06T18:56:00Z</cp:lastPrinted>
  <dcterms:modified xsi:type="dcterms:W3CDTF">2024-06-25T08:12:58Z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37CA6E966B954F26B804CFD36B7CB974</vt:lpwstr>
  </property>
</Properties>
</file>