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办事指南事项填报表</w:t>
      </w:r>
    </w:p>
    <w:tbl>
      <w:tblPr>
        <w:tblStyle w:val="2"/>
        <w:tblpPr w:leftFromText="180" w:rightFromText="180" w:vertAnchor="page" w:horzAnchor="page" w:tblpX="1575" w:tblpY="2298"/>
        <w:tblOverlap w:val="never"/>
        <w:tblW w:w="9291" w:type="dxa"/>
        <w:tblInd w:w="0" w:type="dxa"/>
        <w:tblLayout w:type="fixed"/>
        <w:tblCellMar>
          <w:top w:w="0" w:type="dxa"/>
          <w:left w:w="108" w:type="dxa"/>
          <w:bottom w:w="0" w:type="dxa"/>
          <w:right w:w="108" w:type="dxa"/>
        </w:tblCellMar>
      </w:tblPr>
      <w:tblGrid>
        <w:gridCol w:w="1024"/>
        <w:gridCol w:w="8267"/>
      </w:tblGrid>
      <w:tr>
        <w:tblPrEx>
          <w:tblCellMar>
            <w:top w:w="0" w:type="dxa"/>
            <w:left w:w="108" w:type="dxa"/>
            <w:bottom w:w="0" w:type="dxa"/>
            <w:right w:w="108" w:type="dxa"/>
          </w:tblCellMar>
        </w:tblPrEx>
        <w:trPr>
          <w:trHeight w:val="300" w:hRule="atLeast"/>
        </w:trPr>
        <w:tc>
          <w:tcPr>
            <w:tcW w:w="10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事项名称</w:t>
            </w:r>
          </w:p>
        </w:tc>
        <w:tc>
          <w:tcPr>
            <w:tcW w:w="82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bookmarkStart w:id="0" w:name="_GoBack"/>
            <w:r>
              <w:rPr>
                <w:rFonts w:hint="eastAsia" w:ascii="宋体" w:hAnsi="宋体" w:cs="宋体"/>
                <w:sz w:val="18"/>
                <w:szCs w:val="18"/>
              </w:rPr>
              <w:t>民办职业资格培训、职业技能培训学校变更审批_办学场所变更</w:t>
            </w:r>
            <w:bookmarkEnd w:id="0"/>
          </w:p>
        </w:tc>
      </w:tr>
      <w:tr>
        <w:tblPrEx>
          <w:tblCellMar>
            <w:top w:w="0" w:type="dxa"/>
            <w:left w:w="108" w:type="dxa"/>
            <w:bottom w:w="0" w:type="dxa"/>
            <w:right w:w="108" w:type="dxa"/>
          </w:tblCellMar>
        </w:tblPrEx>
        <w:trPr>
          <w:trHeight w:val="300" w:hRule="atLeast"/>
        </w:trPr>
        <w:tc>
          <w:tcPr>
            <w:tcW w:w="102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办理单位</w:t>
            </w:r>
          </w:p>
        </w:tc>
        <w:tc>
          <w:tcPr>
            <w:tcW w:w="8267" w:type="dxa"/>
            <w:tcBorders>
              <w:top w:val="single" w:color="auto" w:sz="4" w:space="0"/>
              <w:left w:val="nil"/>
              <w:bottom w:val="single" w:color="auto" w:sz="4" w:space="0"/>
              <w:right w:val="single" w:color="auto" w:sz="4" w:space="0"/>
            </w:tcBorders>
            <w:vAlign w:val="center"/>
          </w:tcPr>
          <w:p>
            <w:pPr>
              <w:rPr>
                <w:rFonts w:ascii="宋体" w:hAnsi="宋体" w:cs="宋体"/>
                <w:sz w:val="18"/>
                <w:szCs w:val="18"/>
              </w:rPr>
            </w:pPr>
            <w:r>
              <w:rPr>
                <w:rFonts w:hint="eastAsia"/>
                <w:sz w:val="18"/>
                <w:szCs w:val="18"/>
              </w:rPr>
              <w:t>台江区人社局</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事项编码</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ascii="宋体" w:hAnsi="宋体" w:cs="宋体"/>
                <w:kern w:val="0"/>
                <w:sz w:val="18"/>
                <w:szCs w:val="18"/>
              </w:rPr>
              <w:t>350103000000003616417003</w:t>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r>
              <w:rPr>
                <w:rFonts w:ascii="宋体" w:hAnsi="宋体" w:cs="宋体"/>
                <w:kern w:val="0"/>
                <w:sz w:val="18"/>
                <w:szCs w:val="18"/>
              </w:rPr>
              <w:tab/>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事项类别</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sz w:val="18"/>
                <w:szCs w:val="18"/>
              </w:rPr>
              <w:t>行政许可</w:t>
            </w:r>
          </w:p>
        </w:tc>
      </w:tr>
      <w:tr>
        <w:tblPrEx>
          <w:tblCellMar>
            <w:top w:w="0" w:type="dxa"/>
            <w:left w:w="108" w:type="dxa"/>
            <w:bottom w:w="0" w:type="dxa"/>
            <w:right w:w="108" w:type="dxa"/>
          </w:tblCellMar>
        </w:tblPrEx>
        <w:trPr>
          <w:trHeight w:val="986"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设定依据</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民办教育促进法》（主席令第55号）第二十三条：民办学校参照同类公办学校校长的条件聘任校长，年龄可以适当放宽，并报审批机关核准；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2.《中华人民共和国民办教育促进法实施条例》（国务院令第399号）第十一条 设立民办学校的审批权限，依照有关法律、法规的规定执行； 3、《劳动和社会保障部关于贯彻落实&lt;民办教育促进法&gt;做好民办职业培训工作的通知》（劳社部发〔2004〕10号）第二条第（一）各级劳动保障行政部门要根据《民办教育促进法》规定的审批范围进行审批和管理。民办职业培训学校按照办学所在地属地原则进行审批和管理。具体审批层次和权限，由各省、自治区、直辖市劳动保障行政部门制定。各级劳动保障行政部门要本着服务、高效原则，采取多种方式，受理民办职业培训学校的设立申请，并依照法定程序和期限做好审批工作。 4、《行政许可法》第四十九条：被许可人要求变更许可事项的，应当向作出行政许可决定的行政机关提出申请，符合法定条件、标准的，行政机关应依法办理变更手续。 5、《关于调整省级民办职业培训学校设置标准等有关问题的通知》（闽人社文[2009]38号）一、申请新设立省级民办职业培训学校必须符合以下条件：（二）有与办学规模相适应的培训场所…… 6.《福建省人力资源和社会保障厅关于印发&lt;福建省人力资源社会保障系统行政审批和服务事项参考目录实施规程和审查细则（试行）&gt;的通知》（闽人社办〔2017〕33号） 7.《福建省人力资源和社会保障厅关于做好闽政文〔2018〕55号下放（委托）的行政许可事项承接工作的通知》（闽人社文〔2018〕54号）二、做好相关衔接工作2.此前省厅已批准的事项其年检、延期、变更等后续管理服务工作，也由承接单位办理。</w:t>
            </w:r>
            <w:r>
              <w:rPr>
                <w:rFonts w:hint="eastAsia" w:ascii="宋体" w:hAnsi="宋体" w:cs="宋体"/>
                <w:sz w:val="18"/>
                <w:szCs w:val="18"/>
              </w:rPr>
              <w:tab/>
            </w:r>
            <w:r>
              <w:rPr>
                <w:rFonts w:hint="eastAsia" w:ascii="宋体" w:hAnsi="宋体" w:cs="宋体"/>
                <w:sz w:val="18"/>
                <w:szCs w:val="18"/>
              </w:rPr>
              <w:tab/>
            </w:r>
            <w:r>
              <w:rPr>
                <w:rFonts w:hint="eastAsia" w:ascii="宋体" w:hAnsi="宋体" w:cs="宋体"/>
                <w:sz w:val="18"/>
                <w:szCs w:val="18"/>
              </w:rPr>
              <w:tab/>
            </w:r>
            <w:r>
              <w:rPr>
                <w:rFonts w:hint="eastAsia" w:ascii="宋体" w:hAnsi="宋体" w:cs="宋体"/>
                <w:sz w:val="18"/>
                <w:szCs w:val="18"/>
              </w:rPr>
              <w:tab/>
            </w:r>
          </w:p>
        </w:tc>
      </w:tr>
      <w:tr>
        <w:tblPrEx>
          <w:tblCellMar>
            <w:top w:w="0" w:type="dxa"/>
            <w:left w:w="108" w:type="dxa"/>
            <w:bottom w:w="0" w:type="dxa"/>
            <w:right w:w="108" w:type="dxa"/>
          </w:tblCellMar>
        </w:tblPrEx>
        <w:trPr>
          <w:trHeight w:val="1002"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办理流程</w:t>
            </w:r>
          </w:p>
        </w:tc>
        <w:tc>
          <w:tcPr>
            <w:tcW w:w="8267" w:type="dxa"/>
            <w:tcBorders>
              <w:top w:val="nil"/>
              <w:left w:val="nil"/>
              <w:bottom w:val="single" w:color="auto" w:sz="4" w:space="0"/>
              <w:right w:val="single" w:color="auto" w:sz="4" w:space="0"/>
            </w:tcBorders>
            <w:vAlign w:val="center"/>
          </w:tcPr>
          <w:p>
            <w:pPr>
              <w:widowControl/>
              <w:tabs>
                <w:tab w:val="left" w:pos="425"/>
                <w:tab w:val="left" w:pos="840"/>
              </w:tabs>
              <w:spacing w:line="260" w:lineRule="exact"/>
              <w:rPr>
                <w:rFonts w:ascii="宋体"/>
                <w:kern w:val="0"/>
                <w:sz w:val="18"/>
              </w:rPr>
            </w:pPr>
            <w:r>
              <w:rPr>
                <w:rFonts w:hint="eastAsia" w:ascii="Helvetica" w:hAnsi="Helvetica" w:cs="Arial"/>
                <w:color w:val="444444"/>
                <w:kern w:val="0"/>
                <w:sz w:val="18"/>
                <w:szCs w:val="18"/>
              </w:rPr>
              <w:t>1.</w:t>
            </w:r>
            <w:r>
              <w:rPr>
                <w:rFonts w:hint="eastAsia" w:ascii="宋体"/>
                <w:kern w:val="0"/>
                <w:sz w:val="18"/>
              </w:rPr>
              <w:t>收件初审：申请人到受理窗口提交材料后，由窗口人员当场审查申请材料，材料齐全的，出具《受理承诺单》；不齐全或不符合条件的，一次性告知，出具《缺件告知单》或《补正通知单》。</w:t>
            </w:r>
          </w:p>
          <w:p>
            <w:pPr>
              <w:widowControl/>
              <w:tabs>
                <w:tab w:val="left" w:pos="425"/>
                <w:tab w:val="left" w:pos="840"/>
              </w:tabs>
              <w:spacing w:line="260" w:lineRule="exact"/>
              <w:jc w:val="left"/>
              <w:rPr>
                <w:rFonts w:ascii="宋体"/>
                <w:kern w:val="0"/>
                <w:sz w:val="18"/>
              </w:rPr>
            </w:pPr>
            <w:r>
              <w:rPr>
                <w:rFonts w:hint="eastAsia" w:ascii="Helvetica" w:hAnsi="Helvetica" w:cs="Arial"/>
                <w:color w:val="444444"/>
                <w:kern w:val="0"/>
                <w:sz w:val="18"/>
                <w:szCs w:val="18"/>
              </w:rPr>
              <w:t>2.</w:t>
            </w:r>
            <w:r>
              <w:rPr>
                <w:rFonts w:hint="eastAsia" w:ascii="宋体"/>
                <w:kern w:val="0"/>
                <w:sz w:val="18"/>
              </w:rPr>
              <w:t>审查复核：审查人对受理材料的实质内容进行审查，符合要求的，提交下一环节办理</w:t>
            </w:r>
          </w:p>
          <w:p>
            <w:pPr>
              <w:widowControl/>
              <w:tabs>
                <w:tab w:val="left" w:pos="425"/>
                <w:tab w:val="left" w:pos="840"/>
              </w:tabs>
              <w:spacing w:line="260" w:lineRule="exact"/>
              <w:jc w:val="left"/>
              <w:rPr>
                <w:rFonts w:ascii="宋体"/>
                <w:kern w:val="0"/>
                <w:sz w:val="18"/>
              </w:rPr>
            </w:pPr>
            <w:r>
              <w:rPr>
                <w:rFonts w:hint="eastAsia" w:ascii="宋体"/>
                <w:kern w:val="0"/>
                <w:sz w:val="18"/>
              </w:rPr>
              <w:t>3.现场勘查：现场勘查人员到现场勘查，不符合要求的，出具《整改通知书》；符合要求的，提交审批人审批； （注：举办者、校长、校名变更无此环节）</w:t>
            </w:r>
          </w:p>
          <w:p>
            <w:pPr>
              <w:widowControl/>
              <w:tabs>
                <w:tab w:val="left" w:pos="425"/>
                <w:tab w:val="left" w:pos="840"/>
              </w:tabs>
              <w:spacing w:line="260" w:lineRule="exact"/>
              <w:jc w:val="left"/>
              <w:rPr>
                <w:rFonts w:ascii="宋体"/>
                <w:kern w:val="0"/>
                <w:sz w:val="18"/>
                <w:szCs w:val="18"/>
              </w:rPr>
            </w:pPr>
            <w:r>
              <w:rPr>
                <w:rFonts w:hint="eastAsia" w:ascii="宋体"/>
                <w:kern w:val="0"/>
                <w:sz w:val="18"/>
              </w:rPr>
              <w:t>4.审批办结：审批后，申请人到受理窗口领取文件（批文、证照等）。</w:t>
            </w:r>
          </w:p>
        </w:tc>
      </w:tr>
      <w:tr>
        <w:tblPrEx>
          <w:tblCellMar>
            <w:top w:w="0" w:type="dxa"/>
            <w:left w:w="108" w:type="dxa"/>
            <w:bottom w:w="0" w:type="dxa"/>
            <w:right w:w="108" w:type="dxa"/>
          </w:tblCellMar>
        </w:tblPrEx>
        <w:trPr>
          <w:trHeight w:val="405"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申请条件</w:t>
            </w:r>
          </w:p>
        </w:tc>
        <w:tc>
          <w:tcPr>
            <w:tcW w:w="8267" w:type="dxa"/>
            <w:tcBorders>
              <w:top w:val="nil"/>
              <w:left w:val="nil"/>
              <w:bottom w:val="single" w:color="auto" w:sz="4" w:space="0"/>
              <w:right w:val="single" w:color="auto" w:sz="4" w:space="0"/>
            </w:tcBorders>
            <w:vAlign w:val="center"/>
          </w:tcPr>
          <w:p>
            <w:pPr>
              <w:rPr>
                <w:rFonts w:hint="eastAsia" w:ascii="宋体" w:hAnsi="宋体" w:cs="宋体" w:eastAsiaTheme="minorEastAsia"/>
                <w:color w:val="333333"/>
                <w:sz w:val="18"/>
                <w:szCs w:val="18"/>
                <w:lang w:eastAsia="zh-CN"/>
              </w:rPr>
            </w:pPr>
            <w:r>
              <w:rPr>
                <w:rFonts w:hint="eastAsia" w:ascii="宋体" w:hAnsi="宋体" w:cs="宋体" w:eastAsiaTheme="minorEastAsia"/>
                <w:color w:val="333333"/>
                <w:sz w:val="18"/>
                <w:szCs w:val="18"/>
                <w:lang w:eastAsia="zh-CN"/>
              </w:rPr>
              <w:t xml:space="preserve">省属培训学校场所变更（下放至各县区市）：1、房屋租赁合同须与产权人签订，避免转租情况；2、新址条件必须达到《关于调整省级民办职业培训学校设置标准等有关问题的通知》（闽人社文[2009]38号）规定：建筑面积不少于2000平方米，其中理论课集中的教学场所（教室）应达到1500平方米以上；3、房屋消防安全验收合格证明必须真实有效。 </w:t>
            </w:r>
          </w:p>
          <w:p>
            <w:pPr>
              <w:rPr>
                <w:rFonts w:hint="eastAsia" w:ascii="宋体" w:hAnsi="宋体" w:cs="宋体" w:eastAsiaTheme="minorEastAsia"/>
                <w:color w:val="333333"/>
                <w:sz w:val="18"/>
                <w:szCs w:val="18"/>
                <w:lang w:eastAsia="zh-CN"/>
              </w:rPr>
            </w:pPr>
            <w:r>
              <w:rPr>
                <w:rFonts w:hint="eastAsia" w:ascii="宋体" w:hAnsi="宋体" w:cs="宋体" w:eastAsiaTheme="minorEastAsia"/>
                <w:color w:val="333333"/>
                <w:sz w:val="18"/>
                <w:szCs w:val="18"/>
                <w:lang w:eastAsia="zh-CN"/>
              </w:rPr>
              <w:t xml:space="preserve">市属培训学校场所变更: 1、应有与办学规模相适应的培训场所，租用的场所租赁期不少于3年。有办公用房；理论课集中的教学场所应达到300平米以上，无危房，有良好的照明、通风条件，桌椅、讲台和黑板设施齐全；有满足实习教学需要的实习操作场所，符合环保、劳保、安全、消防、卫生等有关规定及相关工种的安全规程。招收住宿学生，其食宿场所也应符合环保、安全、消防、卫生等有关规定。 </w:t>
            </w:r>
          </w:p>
          <w:p>
            <w:pPr>
              <w:rPr>
                <w:rFonts w:hint="eastAsia" w:ascii="宋体" w:hAnsi="宋体" w:cs="宋体" w:eastAsiaTheme="minorEastAsia"/>
                <w:color w:val="333333"/>
                <w:sz w:val="18"/>
                <w:szCs w:val="18"/>
                <w:lang w:eastAsia="zh-CN"/>
              </w:rPr>
            </w:pPr>
            <w:r>
              <w:rPr>
                <w:rFonts w:hint="eastAsia" w:ascii="宋体" w:hAnsi="宋体" w:cs="宋体" w:eastAsiaTheme="minorEastAsia"/>
                <w:color w:val="333333"/>
                <w:sz w:val="18"/>
                <w:szCs w:val="18"/>
                <w:lang w:eastAsia="zh-CN"/>
              </w:rPr>
              <w:t xml:space="preserve">消防安全类培训学校场所变更：1.房屋租赁合同须与产权人签订，避免转租情况；2.新址条件必须达到《社会消防安全培训机构设置与评审》（GA/T1300-2016）、《关于调整省级民办职业培训学校设置标准等有关问题的通知》（闽人社文〔2009〕38号）的要求；3.房屋消防安全验收合格证明必须真实有效。 </w:t>
            </w:r>
          </w:p>
        </w:tc>
      </w:tr>
      <w:tr>
        <w:tblPrEx>
          <w:tblCellMar>
            <w:top w:w="0" w:type="dxa"/>
            <w:left w:w="108" w:type="dxa"/>
            <w:bottom w:w="0" w:type="dxa"/>
            <w:right w:w="108" w:type="dxa"/>
          </w:tblCellMar>
        </w:tblPrEx>
        <w:trPr>
          <w:trHeight w:val="806"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申请材料</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1.变更申请表；</w:t>
            </w:r>
          </w:p>
          <w:p>
            <w:pPr>
              <w:rPr>
                <w:rFonts w:hint="eastAsia" w:ascii="宋体" w:hAnsi="宋体" w:cs="宋体" w:eastAsiaTheme="minorEastAsia"/>
                <w:sz w:val="18"/>
                <w:szCs w:val="18"/>
                <w:lang w:eastAsia="zh-CN"/>
              </w:rPr>
            </w:pPr>
            <w:r>
              <w:rPr>
                <w:rFonts w:hint="eastAsia" w:ascii="宋体" w:hAnsi="宋体" w:cs="宋体"/>
                <w:sz w:val="18"/>
                <w:szCs w:val="18"/>
              </w:rPr>
              <w:t>2.原办学许可证正副本</w:t>
            </w:r>
            <w:r>
              <w:rPr>
                <w:rFonts w:hint="eastAsia" w:ascii="宋体" w:hAnsi="宋体" w:cs="宋体"/>
                <w:sz w:val="18"/>
                <w:szCs w:val="18"/>
                <w:lang w:eastAsia="zh-CN"/>
              </w:rPr>
              <w:t>；</w:t>
            </w:r>
          </w:p>
          <w:p>
            <w:pPr>
              <w:rPr>
                <w:rFonts w:hint="eastAsia" w:ascii="宋体" w:hAnsi="宋体" w:cs="宋体" w:eastAsiaTheme="minorEastAsia"/>
                <w:sz w:val="18"/>
                <w:szCs w:val="18"/>
                <w:lang w:eastAsia="zh-CN"/>
              </w:rPr>
            </w:pPr>
            <w:r>
              <w:rPr>
                <w:rFonts w:hint="eastAsia" w:ascii="宋体" w:hAnsi="宋体" w:cs="宋体"/>
                <w:sz w:val="18"/>
                <w:szCs w:val="18"/>
              </w:rPr>
              <w:t>3.民办非企业单位登记证书或营业执照复印件</w:t>
            </w:r>
            <w:r>
              <w:rPr>
                <w:rFonts w:hint="eastAsia" w:ascii="宋体" w:hAnsi="宋体" w:cs="宋体"/>
                <w:sz w:val="18"/>
                <w:szCs w:val="18"/>
                <w:lang w:eastAsia="zh-CN"/>
              </w:rPr>
              <w:t>；</w:t>
            </w:r>
          </w:p>
          <w:p>
            <w:pPr>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4.委托他人申请的，应提交授权委托书原件及代理人身份证复印件；</w:t>
            </w:r>
          </w:p>
          <w:p>
            <w:pPr>
              <w:rPr>
                <w:rFonts w:hint="eastAsia" w:ascii="宋体" w:hAnsi="宋体" w:cs="宋体" w:eastAsiaTheme="minorEastAsia"/>
                <w:sz w:val="18"/>
                <w:szCs w:val="18"/>
                <w:lang w:eastAsia="zh-CN"/>
              </w:rPr>
            </w:pPr>
            <w:r>
              <w:rPr>
                <w:rFonts w:hint="eastAsia" w:ascii="宋体" w:hAnsi="宋体" w:cs="宋体"/>
                <w:sz w:val="18"/>
                <w:szCs w:val="18"/>
                <w:lang w:val="en-US" w:eastAsia="zh-CN"/>
              </w:rPr>
              <w:t>5.</w:t>
            </w:r>
            <w:r>
              <w:rPr>
                <w:rFonts w:hint="eastAsia" w:ascii="宋体" w:hAnsi="宋体" w:cs="宋体"/>
                <w:sz w:val="18"/>
                <w:szCs w:val="18"/>
              </w:rPr>
              <w:t>原学校章程及修改后的学校章程</w:t>
            </w:r>
            <w:r>
              <w:rPr>
                <w:rFonts w:hint="eastAsia" w:ascii="宋体" w:hAnsi="宋体" w:cs="宋体"/>
                <w:sz w:val="18"/>
                <w:szCs w:val="18"/>
                <w:lang w:eastAsia="zh-CN"/>
              </w:rPr>
              <w:t>；</w:t>
            </w:r>
          </w:p>
          <w:p>
            <w:pPr>
              <w:rPr>
                <w:rFonts w:hint="eastAsia" w:ascii="宋体" w:hAnsi="宋体" w:cs="宋体" w:eastAsiaTheme="minorEastAsia"/>
                <w:sz w:val="18"/>
                <w:szCs w:val="18"/>
                <w:lang w:eastAsia="zh-CN"/>
              </w:rPr>
            </w:pPr>
            <w:r>
              <w:rPr>
                <w:rFonts w:hint="eastAsia" w:ascii="宋体" w:hAnsi="宋体" w:cs="宋体"/>
                <w:sz w:val="18"/>
                <w:szCs w:val="18"/>
                <w:lang w:val="en-US" w:eastAsia="zh-CN"/>
              </w:rPr>
              <w:t>6.</w:t>
            </w:r>
            <w:r>
              <w:rPr>
                <w:rFonts w:hint="eastAsia" w:ascii="宋体" w:hAnsi="宋体" w:cs="宋体"/>
                <w:sz w:val="18"/>
                <w:szCs w:val="18"/>
              </w:rPr>
              <w:t>办学场地产权证明及房屋租赁合同（协议）</w:t>
            </w:r>
            <w:r>
              <w:rPr>
                <w:rFonts w:hint="eastAsia" w:ascii="宋体" w:hAnsi="宋体" w:cs="宋体"/>
                <w:sz w:val="18"/>
                <w:szCs w:val="18"/>
                <w:lang w:eastAsia="zh-CN"/>
              </w:rPr>
              <w:t>；</w:t>
            </w:r>
          </w:p>
          <w:p>
            <w:pPr>
              <w:numPr>
                <w:numId w:val="0"/>
              </w:numPr>
              <w:rPr>
                <w:rFonts w:hint="eastAsia" w:ascii="宋体" w:hAnsi="宋体" w:cs="宋体" w:eastAsiaTheme="minorEastAsia"/>
                <w:sz w:val="18"/>
                <w:szCs w:val="18"/>
                <w:lang w:eastAsia="zh-CN"/>
              </w:rPr>
            </w:pPr>
            <w:r>
              <w:rPr>
                <w:rFonts w:hint="eastAsia" w:ascii="宋体" w:hAnsi="宋体" w:cs="宋体"/>
                <w:sz w:val="18"/>
                <w:szCs w:val="18"/>
                <w:lang w:val="en-US" w:eastAsia="zh-CN"/>
              </w:rPr>
              <w:t>7.</w:t>
            </w:r>
            <w:r>
              <w:rPr>
                <w:rFonts w:hint="eastAsia" w:ascii="宋体" w:hAnsi="宋体" w:cs="宋体"/>
                <w:sz w:val="18"/>
                <w:szCs w:val="18"/>
              </w:rPr>
              <w:t>消防安全验收合格的文件</w:t>
            </w:r>
            <w:r>
              <w:rPr>
                <w:rFonts w:hint="eastAsia" w:ascii="宋体" w:hAnsi="宋体" w:cs="宋体"/>
                <w:sz w:val="18"/>
                <w:szCs w:val="18"/>
                <w:lang w:eastAsia="zh-CN"/>
              </w:rPr>
              <w:t>；</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收费标准</w:t>
            </w:r>
          </w:p>
        </w:tc>
        <w:tc>
          <w:tcPr>
            <w:tcW w:w="8267" w:type="dxa"/>
            <w:tcBorders>
              <w:top w:val="nil"/>
              <w:left w:val="nil"/>
              <w:bottom w:val="single" w:color="auto" w:sz="4" w:space="0"/>
              <w:right w:val="single" w:color="auto" w:sz="4" w:space="0"/>
            </w:tcBorders>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rPr>
              <w:t>本事项不收费</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收费依据</w:t>
            </w:r>
          </w:p>
        </w:tc>
        <w:tc>
          <w:tcPr>
            <w:tcW w:w="8267" w:type="dxa"/>
            <w:tcBorders>
              <w:top w:val="nil"/>
              <w:left w:val="nil"/>
              <w:bottom w:val="single" w:color="auto" w:sz="4" w:space="0"/>
              <w:right w:val="single" w:color="auto" w:sz="4" w:space="0"/>
            </w:tcBorders>
            <w:vAlign w:val="center"/>
          </w:tcPr>
          <w:p>
            <w:pPr>
              <w:widowControl/>
              <w:spacing w:line="260" w:lineRule="exact"/>
              <w:jc w:val="left"/>
              <w:rPr>
                <w:rFonts w:ascii="宋体" w:hAnsi="宋体" w:cs="宋体"/>
                <w:kern w:val="0"/>
                <w:sz w:val="18"/>
                <w:szCs w:val="18"/>
              </w:rPr>
            </w:pPr>
            <w:r>
              <w:rPr>
                <w:rFonts w:hint="eastAsia" w:ascii="宋体" w:hAnsi="宋体" w:cs="宋体"/>
                <w:kern w:val="0"/>
                <w:sz w:val="18"/>
                <w:szCs w:val="18"/>
              </w:rPr>
              <w:t>无</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法定时限</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3个月（自然日）</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承诺时限</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收件初审2个工作日，现场查勘（仅类别、办学场所、分立或合并的变更）4个工作日，审批办结4个工作日</w:t>
            </w:r>
          </w:p>
        </w:tc>
      </w:tr>
      <w:tr>
        <w:tblPrEx>
          <w:tblCellMar>
            <w:top w:w="0" w:type="dxa"/>
            <w:left w:w="108" w:type="dxa"/>
            <w:bottom w:w="0" w:type="dxa"/>
            <w:right w:w="108" w:type="dxa"/>
          </w:tblCellMar>
        </w:tblPrEx>
        <w:trPr>
          <w:trHeight w:val="247"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办理结果</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lang w:eastAsia="zh-CN"/>
              </w:rPr>
              <w:t>证书及</w:t>
            </w:r>
            <w:r>
              <w:rPr>
                <w:rFonts w:hint="eastAsia" w:ascii="宋体" w:hAnsi="宋体" w:cs="宋体"/>
                <w:kern w:val="0"/>
                <w:sz w:val="18"/>
                <w:szCs w:val="18"/>
              </w:rPr>
              <w:t>批文</w:t>
            </w:r>
          </w:p>
        </w:tc>
      </w:tr>
      <w:tr>
        <w:tblPrEx>
          <w:tblCellMar>
            <w:top w:w="0" w:type="dxa"/>
            <w:left w:w="108" w:type="dxa"/>
            <w:bottom w:w="0" w:type="dxa"/>
            <w:right w:w="108" w:type="dxa"/>
          </w:tblCellMar>
        </w:tblPrEx>
        <w:trPr>
          <w:trHeight w:val="251"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color w:val="FF0000"/>
                <w:kern w:val="0"/>
                <w:sz w:val="18"/>
                <w:szCs w:val="18"/>
              </w:rPr>
              <w:t>年检要求</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无</w:t>
            </w:r>
          </w:p>
        </w:tc>
      </w:tr>
      <w:tr>
        <w:tblPrEx>
          <w:tblCellMar>
            <w:top w:w="0" w:type="dxa"/>
            <w:left w:w="108" w:type="dxa"/>
            <w:bottom w:w="0" w:type="dxa"/>
            <w:right w:w="108" w:type="dxa"/>
          </w:tblCellMar>
        </w:tblPrEx>
        <w:trPr>
          <w:trHeight w:val="411"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办理机构</w:t>
            </w:r>
            <w:r>
              <w:rPr>
                <w:rFonts w:hint="eastAsia" w:ascii="宋体" w:hAnsi="宋体" w:cs="宋体"/>
                <w:kern w:val="0"/>
                <w:sz w:val="18"/>
                <w:szCs w:val="18"/>
              </w:rPr>
              <w:br w:type="textWrapping"/>
            </w:r>
            <w:r>
              <w:rPr>
                <w:rFonts w:hint="eastAsia" w:ascii="宋体" w:hAnsi="宋体" w:cs="宋体"/>
                <w:kern w:val="0"/>
                <w:sz w:val="18"/>
                <w:szCs w:val="18"/>
              </w:rPr>
              <w:t>（科室）</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sz w:val="18"/>
                <w:szCs w:val="18"/>
              </w:rPr>
              <w:t>台江区人社局驻行政服务中心人社窗口</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办理地址</w:t>
            </w:r>
          </w:p>
        </w:tc>
        <w:tc>
          <w:tcPr>
            <w:tcW w:w="8267" w:type="dxa"/>
            <w:tcBorders>
              <w:top w:val="nil"/>
              <w:left w:val="nil"/>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福州市台江区儿童公园路101号二层社会事务类26-29窗口</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办理时间</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法定工作日：  夏时制：上午9:00-12:00，下午2:00-5:30</w:t>
            </w:r>
          </w:p>
          <w:p>
            <w:pPr>
              <w:widowControl/>
              <w:spacing w:line="260" w:lineRule="exact"/>
              <w:rPr>
                <w:rFonts w:ascii="宋体" w:hAnsi="宋体" w:cs="宋体"/>
                <w:kern w:val="0"/>
                <w:sz w:val="18"/>
                <w:szCs w:val="18"/>
              </w:rPr>
            </w:pPr>
            <w:r>
              <w:rPr>
                <w:rFonts w:hint="eastAsia" w:ascii="宋体" w:hAnsi="宋体" w:cs="宋体"/>
                <w:kern w:val="0"/>
                <w:sz w:val="18"/>
                <w:szCs w:val="18"/>
              </w:rPr>
              <w:t xml:space="preserve">              非夏时制：上午9:00-12:00，下午1:</w:t>
            </w:r>
            <w:r>
              <w:rPr>
                <w:rFonts w:hint="eastAsia" w:ascii="宋体" w:hAnsi="宋体" w:cs="宋体"/>
                <w:kern w:val="0"/>
                <w:sz w:val="18"/>
                <w:szCs w:val="18"/>
                <w:lang w:val="en-US" w:eastAsia="zh-CN"/>
              </w:rPr>
              <w:t>3</w:t>
            </w:r>
            <w:r>
              <w:rPr>
                <w:rFonts w:hint="eastAsia" w:ascii="宋体" w:hAnsi="宋体" w:cs="宋体"/>
                <w:kern w:val="0"/>
                <w:sz w:val="18"/>
                <w:szCs w:val="18"/>
              </w:rPr>
              <w:t>0-5:</w:t>
            </w:r>
            <w:r>
              <w:rPr>
                <w:rFonts w:hint="eastAsia" w:ascii="宋体" w:hAnsi="宋体" w:cs="宋体"/>
                <w:kern w:val="0"/>
                <w:sz w:val="18"/>
                <w:szCs w:val="18"/>
                <w:lang w:val="en-US" w:eastAsia="zh-CN"/>
              </w:rPr>
              <w:t>3</w:t>
            </w:r>
            <w:r>
              <w:rPr>
                <w:rFonts w:hint="eastAsia" w:ascii="宋体" w:hAnsi="宋体" w:cs="宋体"/>
                <w:kern w:val="0"/>
                <w:sz w:val="18"/>
                <w:szCs w:val="18"/>
              </w:rPr>
              <w:t xml:space="preserve">0       </w:t>
            </w:r>
          </w:p>
        </w:tc>
      </w:tr>
      <w:tr>
        <w:tblPrEx>
          <w:tblCellMar>
            <w:top w:w="0" w:type="dxa"/>
            <w:left w:w="108" w:type="dxa"/>
            <w:bottom w:w="0" w:type="dxa"/>
            <w:right w:w="108" w:type="dxa"/>
          </w:tblCellMar>
        </w:tblPrEx>
        <w:trPr>
          <w:trHeight w:val="27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联系电话</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83288501</w:t>
            </w:r>
          </w:p>
        </w:tc>
      </w:tr>
      <w:tr>
        <w:tblPrEx>
          <w:tblCellMar>
            <w:top w:w="0" w:type="dxa"/>
            <w:left w:w="108" w:type="dxa"/>
            <w:bottom w:w="0" w:type="dxa"/>
            <w:right w:w="108" w:type="dxa"/>
          </w:tblCellMar>
        </w:tblPrEx>
        <w:trPr>
          <w:trHeight w:val="255"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投诉电话</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83268349</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在线申报</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在线申报详细网址</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状态查询</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在线查询详细网址</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在线咨询</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在线查询详细网址</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注意事项</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注明办理该事项需注意的信息，尤其是申请材料准备过程中易缺漏的内容。</w:t>
            </w:r>
          </w:p>
        </w:tc>
      </w:tr>
      <w:tr>
        <w:tblPrEx>
          <w:tblCellMar>
            <w:top w:w="0" w:type="dxa"/>
            <w:left w:w="108" w:type="dxa"/>
            <w:bottom w:w="0" w:type="dxa"/>
            <w:right w:w="108" w:type="dxa"/>
          </w:tblCellMar>
        </w:tblPrEx>
        <w:trPr>
          <w:trHeight w:val="3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公众办事</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hAnsi="宋体" w:cs="宋体"/>
                <w:kern w:val="0"/>
                <w:sz w:val="18"/>
                <w:szCs w:val="18"/>
              </w:rPr>
            </w:pPr>
            <w:r>
              <w:rPr>
                <w:rFonts w:hint="eastAsia" w:ascii="宋体" w:hAnsi="宋体" w:cs="宋体"/>
                <w:kern w:val="0"/>
                <w:sz w:val="18"/>
                <w:szCs w:val="18"/>
              </w:rPr>
              <w:t xml:space="preserve">□婚姻登记  □生育收养  □户籍管理  □教育  □文化  □医疗  □公用事业 </w:t>
            </w:r>
          </w:p>
          <w:p>
            <w:pPr>
              <w:widowControl/>
              <w:spacing w:line="260" w:lineRule="exact"/>
              <w:rPr>
                <w:rFonts w:ascii="宋体" w:hAnsi="宋体" w:cs="宋体"/>
                <w:kern w:val="0"/>
                <w:sz w:val="18"/>
                <w:szCs w:val="18"/>
              </w:rPr>
            </w:pPr>
            <w:r>
              <w:rPr>
                <w:rFonts w:hint="eastAsia" w:ascii="宋体" w:hAnsi="宋体" w:cs="宋体"/>
                <w:kern w:val="0"/>
                <w:sz w:val="18"/>
                <w:szCs w:val="18"/>
              </w:rPr>
              <w:t>□住房  □就业  □社会团体  □社会保障  □交通  □死亡殡葬  □综合其他</w:t>
            </w:r>
          </w:p>
        </w:tc>
      </w:tr>
      <w:tr>
        <w:tblPrEx>
          <w:tblCellMar>
            <w:top w:w="0" w:type="dxa"/>
            <w:left w:w="108" w:type="dxa"/>
            <w:bottom w:w="0" w:type="dxa"/>
            <w:right w:w="108" w:type="dxa"/>
          </w:tblCellMar>
        </w:tblPrEx>
        <w:trPr>
          <w:trHeight w:val="500" w:hRule="atLeast"/>
        </w:trPr>
        <w:tc>
          <w:tcPr>
            <w:tcW w:w="1024"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企业办事</w:t>
            </w:r>
          </w:p>
        </w:tc>
        <w:tc>
          <w:tcPr>
            <w:tcW w:w="8267" w:type="dxa"/>
            <w:tcBorders>
              <w:top w:val="nil"/>
              <w:left w:val="nil"/>
              <w:bottom w:val="single" w:color="auto" w:sz="4" w:space="0"/>
              <w:right w:val="single" w:color="auto" w:sz="4" w:space="0"/>
            </w:tcBorders>
            <w:vAlign w:val="center"/>
          </w:tcPr>
          <w:p>
            <w:pPr>
              <w:widowControl/>
              <w:spacing w:line="260" w:lineRule="exact"/>
              <w:rPr>
                <w:rFonts w:ascii="宋体" w:cs="宋体"/>
                <w:kern w:val="0"/>
                <w:sz w:val="18"/>
                <w:szCs w:val="18"/>
              </w:rPr>
            </w:pPr>
            <w:r>
              <w:rPr>
                <w:rFonts w:hint="eastAsia" w:ascii="宋体" w:hAnsi="宋体" w:cs="宋体"/>
                <w:kern w:val="0"/>
                <w:sz w:val="18"/>
                <w:szCs w:val="18"/>
              </w:rPr>
              <w:t>□设立变更</w:t>
            </w:r>
            <w:r>
              <w:rPr>
                <w:rFonts w:ascii="宋体" w:hAnsi="宋体" w:cs="宋体"/>
                <w:kern w:val="0"/>
                <w:sz w:val="18"/>
                <w:szCs w:val="18"/>
              </w:rPr>
              <w:t xml:space="preserve">  </w:t>
            </w:r>
            <w:r>
              <w:rPr>
                <w:rFonts w:hint="eastAsia" w:ascii="宋体" w:hAnsi="宋体" w:cs="宋体"/>
                <w:kern w:val="0"/>
                <w:sz w:val="18"/>
                <w:szCs w:val="18"/>
              </w:rPr>
              <w:t>□纳税</w:t>
            </w:r>
            <w:r>
              <w:rPr>
                <w:rFonts w:ascii="宋体" w:hAnsi="宋体" w:cs="宋体"/>
                <w:kern w:val="0"/>
                <w:sz w:val="18"/>
                <w:szCs w:val="18"/>
              </w:rPr>
              <w:t xml:space="preserve">  </w:t>
            </w:r>
            <w:r>
              <w:rPr>
                <w:rFonts w:hint="eastAsia" w:ascii="宋体" w:hAnsi="宋体" w:cs="宋体"/>
                <w:kern w:val="0"/>
                <w:sz w:val="18"/>
                <w:szCs w:val="18"/>
              </w:rPr>
              <w:t>□年检年审</w:t>
            </w:r>
            <w:r>
              <w:rPr>
                <w:rFonts w:ascii="宋体" w:hAnsi="宋体" w:cs="宋体"/>
                <w:kern w:val="0"/>
                <w:sz w:val="18"/>
                <w:szCs w:val="18"/>
              </w:rPr>
              <w:t xml:space="preserve">  </w:t>
            </w:r>
            <w:r>
              <w:rPr>
                <w:rFonts w:hint="eastAsia" w:ascii="宋体" w:hAnsi="宋体" w:cs="宋体"/>
                <w:kern w:val="0"/>
                <w:sz w:val="18"/>
                <w:szCs w:val="18"/>
              </w:rPr>
              <w:t>□质量检查</w:t>
            </w:r>
            <w:r>
              <w:rPr>
                <w:rFonts w:ascii="宋体" w:hAnsi="宋体" w:cs="宋体"/>
                <w:kern w:val="0"/>
                <w:sz w:val="18"/>
                <w:szCs w:val="18"/>
              </w:rPr>
              <w:t xml:space="preserve">  </w:t>
            </w:r>
            <w:r>
              <w:rPr>
                <w:rFonts w:hint="eastAsia" w:ascii="宋体" w:hAnsi="宋体" w:cs="宋体"/>
                <w:kern w:val="0"/>
                <w:sz w:val="18"/>
                <w:szCs w:val="18"/>
              </w:rPr>
              <w:t>□安全防护</w:t>
            </w:r>
            <w:r>
              <w:rPr>
                <w:rFonts w:ascii="宋体" w:hAnsi="宋体" w:cs="宋体"/>
                <w:kern w:val="0"/>
                <w:sz w:val="18"/>
                <w:szCs w:val="18"/>
              </w:rPr>
              <w:t xml:space="preserve">  </w:t>
            </w:r>
            <w:r>
              <w:rPr>
                <w:rFonts w:hint="eastAsia" w:ascii="宋体" w:hAnsi="宋体" w:cs="宋体"/>
                <w:kern w:val="0"/>
                <w:sz w:val="18"/>
                <w:szCs w:val="18"/>
              </w:rPr>
              <w:t>□商务活动</w:t>
            </w:r>
            <w:r>
              <w:rPr>
                <w:rFonts w:ascii="宋体" w:hAnsi="宋体" w:cs="宋体"/>
                <w:kern w:val="0"/>
                <w:sz w:val="18"/>
                <w:szCs w:val="18"/>
              </w:rPr>
              <w:t xml:space="preserve">  </w:t>
            </w:r>
          </w:p>
          <w:p>
            <w:pPr>
              <w:widowControl/>
              <w:spacing w:line="260" w:lineRule="exact"/>
              <w:rPr>
                <w:rFonts w:ascii="宋体" w:cs="宋体"/>
                <w:kern w:val="0"/>
                <w:sz w:val="18"/>
                <w:szCs w:val="18"/>
              </w:rPr>
            </w:pPr>
            <w:r>
              <w:rPr>
                <w:rFonts w:hint="eastAsia" w:ascii="宋体" w:hAnsi="宋体" w:cs="宋体"/>
                <w:kern w:val="0"/>
                <w:sz w:val="18"/>
                <w:szCs w:val="18"/>
              </w:rPr>
              <w:t>□劳动保障</w:t>
            </w:r>
            <w:r>
              <w:rPr>
                <w:rFonts w:ascii="宋体" w:hAnsi="宋体" w:cs="宋体"/>
                <w:kern w:val="0"/>
                <w:sz w:val="18"/>
                <w:szCs w:val="18"/>
              </w:rPr>
              <w:t xml:space="preserve">  </w:t>
            </w:r>
            <w:r>
              <w:rPr>
                <w:rFonts w:hint="eastAsia" w:ascii="宋体" w:hAnsi="宋体" w:cs="宋体"/>
                <w:kern w:val="0"/>
                <w:sz w:val="18"/>
                <w:szCs w:val="18"/>
              </w:rPr>
              <w:t>√人力资源</w:t>
            </w:r>
            <w:r>
              <w:rPr>
                <w:rFonts w:ascii="宋体" w:hAnsi="宋体" w:cs="宋体"/>
                <w:kern w:val="0"/>
                <w:sz w:val="18"/>
                <w:szCs w:val="18"/>
              </w:rPr>
              <w:t xml:space="preserve"> </w:t>
            </w:r>
            <w:r>
              <w:rPr>
                <w:rFonts w:hint="eastAsia" w:ascii="宋体" w:hAnsi="宋体" w:cs="宋体"/>
                <w:kern w:val="0"/>
                <w:sz w:val="18"/>
                <w:szCs w:val="18"/>
              </w:rPr>
              <w:t>□资质认证</w:t>
            </w:r>
            <w:r>
              <w:rPr>
                <w:rFonts w:ascii="宋体" w:hAnsi="宋体" w:cs="宋体"/>
                <w:kern w:val="0"/>
                <w:sz w:val="18"/>
                <w:szCs w:val="18"/>
              </w:rPr>
              <w:t xml:space="preserve">  </w:t>
            </w:r>
            <w:r>
              <w:rPr>
                <w:rFonts w:hint="eastAsia" w:ascii="宋体" w:hAnsi="宋体" w:cs="宋体"/>
                <w:kern w:val="0"/>
                <w:sz w:val="18"/>
                <w:szCs w:val="18"/>
              </w:rPr>
              <w:t>□建设管理</w:t>
            </w:r>
            <w:r>
              <w:rPr>
                <w:rFonts w:ascii="宋体" w:hAnsi="宋体" w:cs="宋体"/>
                <w:kern w:val="0"/>
                <w:sz w:val="18"/>
                <w:szCs w:val="18"/>
              </w:rPr>
              <w:t xml:space="preserve">  </w:t>
            </w:r>
            <w:r>
              <w:rPr>
                <w:rFonts w:hint="eastAsia" w:ascii="宋体" w:hAnsi="宋体" w:cs="宋体"/>
                <w:kern w:val="0"/>
                <w:sz w:val="18"/>
                <w:szCs w:val="18"/>
              </w:rPr>
              <w:t>□破产注销</w:t>
            </w:r>
            <w:r>
              <w:rPr>
                <w:rFonts w:ascii="宋体" w:hAnsi="宋体" w:cs="宋体"/>
                <w:kern w:val="0"/>
                <w:sz w:val="18"/>
                <w:szCs w:val="18"/>
              </w:rPr>
              <w:t xml:space="preserve">  </w:t>
            </w:r>
            <w:r>
              <w:rPr>
                <w:rFonts w:hint="eastAsia" w:ascii="宋体" w:hAnsi="宋体" w:cs="宋体"/>
                <w:kern w:val="0"/>
                <w:sz w:val="18"/>
                <w:szCs w:val="18"/>
              </w:rPr>
              <w:t>□综合其他</w:t>
            </w:r>
          </w:p>
        </w:tc>
      </w:tr>
    </w:tbl>
    <w:p>
      <w:pPr>
        <w:jc w:val="center"/>
        <w:rPr>
          <w:rFonts w:hint="eastAsia"/>
          <w:b/>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07FD1"/>
    <w:rsid w:val="21E1019C"/>
    <w:rsid w:val="304568A0"/>
    <w:rsid w:val="3E114BA4"/>
    <w:rsid w:val="4A640FA5"/>
    <w:rsid w:val="51532EA8"/>
    <w:rsid w:val="5F4F11F5"/>
    <w:rsid w:val="7760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444444"/>
      <w:u w:val="none"/>
    </w:rPr>
  </w:style>
  <w:style w:type="character" w:styleId="5">
    <w:name w:val="Hyperlink"/>
    <w:basedOn w:val="3"/>
    <w:qFormat/>
    <w:uiPriority w:val="0"/>
    <w:rPr>
      <w:color w:val="444444"/>
      <w:u w:val="none"/>
    </w:rPr>
  </w:style>
  <w:style w:type="character" w:customStyle="1" w:styleId="6">
    <w:name w:val="current"/>
    <w:basedOn w:val="3"/>
    <w:qFormat/>
    <w:uiPriority w:val="0"/>
    <w:rPr>
      <w:b/>
      <w:color w:val="FFFFFF"/>
      <w:bdr w:val="single" w:color="000080" w:sz="6" w:space="0"/>
      <w:shd w:val="clear" w:fill="2E6AB1"/>
    </w:rPr>
  </w:style>
  <w:style w:type="character" w:customStyle="1" w:styleId="7">
    <w:name w:val="disabled"/>
    <w:basedOn w:val="3"/>
    <w:qFormat/>
    <w:uiPriority w:val="0"/>
    <w:rPr>
      <w:color w:val="929292"/>
      <w:bdr w:val="single" w:color="929292"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『花火』</cp:lastModifiedBy>
  <dcterms:modified xsi:type="dcterms:W3CDTF">2020-01-21T08:53:21Z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