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color w:val="auto"/>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color w:val="auto"/>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color w:val="auto"/>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color w:val="auto"/>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color w:val="auto"/>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color w:val="auto"/>
          <w:spacing w:val="20"/>
          <w:sz w:val="44"/>
          <w:szCs w:val="44"/>
        </w:rPr>
      </w:pPr>
    </w:p>
    <w:p>
      <w:pPr>
        <w:keepNext w:val="0"/>
        <w:keepLines w:val="0"/>
        <w:pageBreakBefore w:val="0"/>
        <w:widowControl w:val="0"/>
        <w:kinsoku/>
        <w:wordWrap w:val="0"/>
        <w:overflowPunct/>
        <w:topLinePunct w:val="0"/>
        <w:autoSpaceDE/>
        <w:autoSpaceDN/>
        <w:bidi w:val="0"/>
        <w:adjustRightInd/>
        <w:snapToGrid/>
        <w:jc w:val="center"/>
        <w:textAlignment w:val="auto"/>
        <w:rPr>
          <w:rFonts w:cs="方正小标宋简体" w:asciiTheme="majorEastAsia" w:hAnsiTheme="majorEastAsia" w:eastAsiaTheme="majorEastAsia"/>
          <w:b/>
          <w:bCs/>
          <w:color w:val="auto"/>
          <w:spacing w:val="20"/>
          <w:sz w:val="44"/>
          <w:szCs w:val="44"/>
        </w:rPr>
      </w:pPr>
      <w:r>
        <w:rPr>
          <w:rFonts w:hint="eastAsia" w:cs="方正小标宋简体" w:asciiTheme="majorEastAsia" w:hAnsiTheme="majorEastAsia" w:eastAsiaTheme="majorEastAsia"/>
          <w:b/>
          <w:bCs/>
          <w:color w:val="auto"/>
          <w:spacing w:val="20"/>
          <w:sz w:val="44"/>
          <w:szCs w:val="44"/>
        </w:rPr>
        <w:t>行政处罚决定书</w:t>
      </w:r>
    </w:p>
    <w:p>
      <w:pPr>
        <w:keepNext w:val="0"/>
        <w:keepLines w:val="0"/>
        <w:pageBreakBefore w:val="0"/>
        <w:widowControl w:val="0"/>
        <w:kinsoku/>
        <w:wordWrap w:val="0"/>
        <w:overflowPunct/>
        <w:topLinePunct w:val="0"/>
        <w:autoSpaceDE/>
        <w:autoSpaceDN/>
        <w:bidi w:val="0"/>
        <w:adjustRightInd/>
        <w:snapToGrid/>
        <w:ind w:right="19" w:rightChars="9" w:firstLine="3588" w:firstLineChars="1196"/>
        <w:jc w:val="right"/>
        <w:textAlignment w:val="auto"/>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台</w:t>
      </w:r>
      <w:r>
        <w:rPr>
          <w:rFonts w:hint="eastAsia" w:ascii="仿宋" w:hAnsi="仿宋" w:eastAsia="仿宋"/>
          <w:color w:val="auto"/>
          <w:sz w:val="30"/>
          <w:szCs w:val="30"/>
          <w:lang w:eastAsia="zh-CN"/>
        </w:rPr>
        <w:t>)</w:t>
      </w:r>
      <w:r>
        <w:rPr>
          <w:rFonts w:hint="eastAsia" w:ascii="仿宋" w:hAnsi="仿宋" w:eastAsia="仿宋"/>
          <w:color w:val="auto"/>
          <w:sz w:val="30"/>
          <w:szCs w:val="30"/>
        </w:rPr>
        <w:t>文</w:t>
      </w:r>
      <w:r>
        <w:rPr>
          <w:rFonts w:hint="eastAsia" w:ascii="仿宋" w:hAnsi="仿宋" w:eastAsia="仿宋"/>
          <w:bCs/>
          <w:color w:val="auto"/>
          <w:kern w:val="0"/>
          <w:sz w:val="30"/>
          <w:szCs w:val="30"/>
        </w:rPr>
        <w:t>综</w:t>
      </w:r>
      <w:r>
        <w:rPr>
          <w:rFonts w:hint="eastAsia" w:ascii="仿宋" w:hAnsi="仿宋" w:eastAsia="仿宋"/>
          <w:color w:val="auto"/>
          <w:sz w:val="30"/>
          <w:szCs w:val="30"/>
        </w:rPr>
        <w:t>罚字〔202</w:t>
      </w:r>
      <w:r>
        <w:rPr>
          <w:rFonts w:hint="default" w:ascii="仿宋" w:hAnsi="仿宋" w:eastAsia="仿宋"/>
          <w:color w:val="auto"/>
          <w:sz w:val="30"/>
          <w:szCs w:val="30"/>
          <w:lang w:val="en-GB"/>
        </w:rPr>
        <w:t>3</w:t>
      </w:r>
      <w:r>
        <w:rPr>
          <w:rFonts w:hint="eastAsia" w:ascii="仿宋" w:hAnsi="仿宋" w:eastAsia="仿宋"/>
          <w:color w:val="auto"/>
          <w:sz w:val="30"/>
          <w:szCs w:val="30"/>
        </w:rPr>
        <w:t>〕</w:t>
      </w:r>
      <w:r>
        <w:rPr>
          <w:rFonts w:hint="eastAsia" w:ascii="仿宋" w:hAnsi="仿宋" w:eastAsia="仿宋"/>
          <w:color w:val="auto"/>
          <w:sz w:val="30"/>
          <w:szCs w:val="30"/>
          <w:lang w:val="en-US" w:eastAsia="zh-CN"/>
        </w:rPr>
        <w:t>07</w:t>
      </w:r>
      <w:r>
        <w:rPr>
          <w:rFonts w:hint="eastAsia" w:ascii="仿宋" w:hAnsi="仿宋" w:eastAsia="仿宋"/>
          <w:color w:val="auto"/>
          <w:sz w:val="30"/>
          <w:szCs w:val="30"/>
        </w:rPr>
        <w:t>号</w:t>
      </w:r>
    </w:p>
    <w:p>
      <w:pPr>
        <w:keepNext w:val="0"/>
        <w:keepLines w:val="0"/>
        <w:pageBreakBefore w:val="0"/>
        <w:widowControl w:val="0"/>
        <w:kinsoku/>
        <w:wordWrap w:val="0"/>
        <w:overflowPunct/>
        <w:topLinePunct w:val="0"/>
        <w:autoSpaceDE/>
        <w:autoSpaceDN/>
        <w:bidi w:val="0"/>
        <w:adjustRightInd/>
        <w:snapToGrid/>
        <w:textAlignment w:val="auto"/>
        <w:rPr>
          <w:rFonts w:ascii="仿宋" w:hAnsi="仿宋" w:eastAsia="仿宋"/>
          <w:color w:val="auto"/>
          <w:szCs w:val="21"/>
        </w:rPr>
      </w:pPr>
    </w:p>
    <w:p>
      <w:pPr>
        <w:keepNext w:val="0"/>
        <w:keepLines w:val="0"/>
        <w:pageBreakBefore w:val="0"/>
        <w:widowControl w:val="0"/>
        <w:kinsoku/>
        <w:wordWrap w:val="0"/>
        <w:overflowPunct/>
        <w:topLinePunct w:val="0"/>
        <w:autoSpaceDE/>
        <w:autoSpaceDN/>
        <w:bidi w:val="0"/>
        <w:adjustRightInd/>
        <w:snapToGrid/>
        <w:spacing w:line="240" w:lineRule="auto"/>
        <w:ind w:right="0" w:rightChars="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当事人：</w:t>
      </w:r>
      <w:r>
        <w:rPr>
          <w:rFonts w:hint="eastAsia" w:ascii="仿宋_GB2312" w:hAnsi="仿宋_GB2312" w:eastAsia="仿宋_GB2312" w:cs="仿宋_GB2312"/>
          <w:sz w:val="32"/>
          <w:szCs w:val="32"/>
          <w:lang w:val="en-US" w:eastAsia="zh-CN"/>
        </w:rPr>
        <w:t>李XX</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_GB2312"/>
          <w:bCs/>
          <w:color w:val="auto"/>
          <w:kern w:val="0"/>
          <w:sz w:val="32"/>
          <w:szCs w:val="32"/>
          <w:u w:val="none"/>
          <w:lang w:val="en-US" w:eastAsia="zh-CN"/>
        </w:rPr>
      </w:pPr>
      <w:r>
        <w:rPr>
          <w:rFonts w:hint="eastAsia" w:ascii="仿宋" w:hAnsi="仿宋" w:eastAsia="仿宋" w:cs="仿宋"/>
          <w:bCs/>
          <w:color w:val="000000"/>
          <w:sz w:val="32"/>
          <w:szCs w:val="32"/>
          <w:u w:val="none"/>
          <w:lang w:val="en-US" w:eastAsia="zh-CN"/>
        </w:rPr>
        <w:t>证照名称及号码：居民</w:t>
      </w:r>
      <w:r>
        <w:rPr>
          <w:rFonts w:hint="eastAsia" w:ascii="仿宋" w:hAnsi="仿宋" w:eastAsia="仿宋" w:cs="仿宋_GB2312"/>
          <w:bCs/>
          <w:color w:val="auto"/>
          <w:kern w:val="0"/>
          <w:sz w:val="32"/>
          <w:szCs w:val="32"/>
          <w:u w:val="none"/>
          <w:lang w:val="en-US" w:eastAsia="zh-CN"/>
        </w:rPr>
        <w:t>身份证(</w:t>
      </w:r>
      <w:r>
        <w:rPr>
          <w:rFonts w:hint="eastAsia" w:ascii="仿宋_GB2312" w:hAnsi="宋体" w:eastAsia="仿宋_GB2312"/>
          <w:color w:val="auto"/>
          <w:sz w:val="32"/>
          <w:szCs w:val="32"/>
          <w:u w:val="none"/>
          <w:lang w:val="en-US" w:eastAsia="zh-CN"/>
        </w:rPr>
        <w:t>522702</w:t>
      </w:r>
      <w:r>
        <w:rPr>
          <w:rFonts w:hint="eastAsia" w:ascii="仿宋" w:hAnsi="仿宋" w:eastAsia="仿宋" w:cs="仿宋_GB2312"/>
          <w:sz w:val="32"/>
          <w:szCs w:val="32"/>
          <w:lang w:val="en-US" w:eastAsia="zh-CN"/>
        </w:rPr>
        <w:t>XXX</w:t>
      </w:r>
      <w:r>
        <w:rPr>
          <w:rFonts w:hint="eastAsia" w:ascii="仿宋_GB2312" w:hAnsi="宋体" w:eastAsia="仿宋_GB2312"/>
          <w:color w:val="auto"/>
          <w:sz w:val="32"/>
          <w:szCs w:val="32"/>
          <w:u w:val="none"/>
          <w:lang w:val="en-US" w:eastAsia="zh-CN"/>
        </w:rPr>
        <w:t>0426</w:t>
      </w:r>
      <w:r>
        <w:rPr>
          <w:rFonts w:hint="eastAsia" w:ascii="仿宋" w:hAnsi="仿宋" w:eastAsia="仿宋" w:cs="仿宋_GB2312"/>
          <w:sz w:val="32"/>
          <w:szCs w:val="32"/>
          <w:lang w:val="en-US" w:eastAsia="zh-CN"/>
        </w:rPr>
        <w:t>XXX</w:t>
      </w:r>
      <w:r>
        <w:rPr>
          <w:rFonts w:hint="eastAsia" w:ascii="仿宋" w:hAnsi="仿宋" w:eastAsia="仿宋" w:cs="仿宋_GB2312"/>
          <w:bCs/>
          <w:color w:val="auto"/>
          <w:kern w:val="0"/>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r>
        <w:rPr>
          <w:rFonts w:hint="eastAsia" w:ascii="仿宋" w:hAnsi="仿宋" w:eastAsia="仿宋" w:cs="仿宋"/>
          <w:bCs/>
          <w:color w:val="000000"/>
          <w:sz w:val="32"/>
          <w:szCs w:val="32"/>
          <w:u w:val="none"/>
          <w:lang w:val="en-US" w:eastAsia="zh-CN"/>
        </w:rPr>
        <w:t>住所：</w:t>
      </w:r>
      <w:r>
        <w:rPr>
          <w:rFonts w:hint="eastAsia" w:ascii="仿宋_GB2312" w:hAnsi="仿宋_GB2312" w:eastAsia="仿宋_GB2312" w:cs="仿宋_GB2312"/>
          <w:color w:val="auto"/>
          <w:sz w:val="32"/>
          <w:szCs w:val="32"/>
          <w:lang w:val="en-US" w:eastAsia="zh-CN"/>
        </w:rPr>
        <w:t>福州市</w:t>
      </w:r>
      <w:r>
        <w:rPr>
          <w:rFonts w:hint="eastAsia" w:ascii="仿宋" w:hAnsi="仿宋" w:eastAsia="仿宋" w:cs="仿宋_GB2312"/>
          <w:bCs/>
          <w:color w:val="auto"/>
          <w:kern w:val="0"/>
          <w:sz w:val="32"/>
          <w:szCs w:val="32"/>
        </w:rPr>
        <w:t>台江区义洲街道工业路</w:t>
      </w:r>
      <w:r>
        <w:rPr>
          <w:rFonts w:hint="eastAsia" w:ascii="仿宋" w:hAnsi="仿宋" w:eastAsia="仿宋" w:cs="仿宋_GB2312"/>
          <w:sz w:val="32"/>
          <w:szCs w:val="32"/>
          <w:lang w:val="en-US" w:eastAsia="zh-CN"/>
        </w:rPr>
        <w:t>XXX</w:t>
      </w:r>
      <w:r>
        <w:rPr>
          <w:rFonts w:hint="eastAsia" w:ascii="仿宋" w:hAnsi="仿宋" w:eastAsia="仿宋" w:cs="仿宋_GB2312"/>
          <w:bCs/>
          <w:color w:val="auto"/>
          <w:kern w:val="0"/>
          <w:sz w:val="32"/>
          <w:szCs w:val="32"/>
        </w:rPr>
        <w:t>号</w:t>
      </w:r>
      <w:r>
        <w:rPr>
          <w:rFonts w:hint="eastAsia" w:ascii="仿宋" w:hAnsi="仿宋" w:eastAsia="仿宋" w:cs="仿宋_GB2312"/>
          <w:sz w:val="32"/>
          <w:szCs w:val="32"/>
          <w:lang w:val="en-US" w:eastAsia="zh-CN"/>
        </w:rPr>
        <w:t>XXX</w:t>
      </w:r>
      <w:r>
        <w:rPr>
          <w:rFonts w:hint="eastAsia" w:ascii="仿宋" w:hAnsi="仿宋" w:eastAsia="仿宋" w:cs="仿宋_GB2312"/>
          <w:bCs/>
          <w:color w:val="auto"/>
          <w:kern w:val="0"/>
          <w:sz w:val="32"/>
          <w:szCs w:val="32"/>
        </w:rPr>
        <w:t>层</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GB" w:eastAsia="zh-CN"/>
        </w:rPr>
      </w:pPr>
      <w:r>
        <w:rPr>
          <w:rFonts w:hint="eastAsia" w:ascii="仿宋" w:hAnsi="仿宋" w:eastAsia="仿宋" w:cs="仿宋"/>
          <w:color w:val="auto"/>
          <w:sz w:val="32"/>
          <w:szCs w:val="32"/>
          <w:lang w:val="en-US" w:eastAsia="zh-CN"/>
        </w:rPr>
        <w:t>根据2023年9月1日福州市文化和旅游局下发的《关于落实相关司法建议书工作要求的通知》文件精神，并按照附件福州市晋安区人民法院《司法建议书》(榕晋法建〔2023〕2号)“陈某等人于2019年2月至2021年12月期间，以诱骗、控制、威胁、殴打等手段逼迫未成年少女在福州市部分娱乐场所等地从事有偿陪侍服务，对数十名未成年少女的生理或心理造成极大的摧残，对社会造成极大危害，建议对接收未成年人从业的娱乐场所进行严厉处罚。”的要求，执法人员在福州市文化和旅游局协调下，于2023年9月4日、11月7日分两次前往福州市晋安区人民法院接收了台江区XXX歌厅的相关涉案资料</w:t>
      </w:r>
      <w:r>
        <w:rPr>
          <w:rFonts w:hint="eastAsia" w:ascii="仿宋" w:hAnsi="仿宋" w:eastAsia="仿宋" w:cs="仿宋"/>
          <w:color w:val="auto"/>
          <w:sz w:val="32"/>
          <w:szCs w:val="32"/>
          <w:lang w:val="en-GB" w:eastAsia="zh-CN"/>
        </w:rPr>
        <w:t>。</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
          <w:bCs/>
          <w:color w:val="auto"/>
          <w:kern w:val="0"/>
          <w:sz w:val="32"/>
          <w:szCs w:val="32"/>
          <w:u w:val="none"/>
          <w:lang w:val="en-US" w:eastAsia="zh-CN"/>
        </w:rPr>
      </w:pPr>
      <w:r>
        <w:rPr>
          <w:rFonts w:hint="eastAsia" w:ascii="仿宋_GB2312" w:hAnsi="宋体" w:eastAsia="仿宋_GB2312"/>
          <w:color w:val="auto"/>
          <w:sz w:val="32"/>
          <w:szCs w:val="32"/>
          <w:lang w:val="en-US" w:eastAsia="zh-CN"/>
        </w:rPr>
        <w:t>经执法人员前期调查和研判，符合立案条件，</w:t>
      </w:r>
      <w:r>
        <w:rPr>
          <w:rFonts w:hint="eastAsia" w:ascii="仿宋" w:hAnsi="仿宋" w:eastAsia="仿宋" w:cs="仿宋"/>
          <w:bCs/>
          <w:color w:val="auto"/>
          <w:kern w:val="0"/>
          <w:sz w:val="32"/>
          <w:szCs w:val="32"/>
          <w:u w:val="none"/>
          <w:lang w:val="en-US" w:eastAsia="zh-CN"/>
        </w:rPr>
        <w:t>2023年11月7日，本案经批准后以一般程序立案。</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auto"/>
          <w:kern w:val="0"/>
          <w:sz w:val="32"/>
          <w:szCs w:val="32"/>
          <w:lang w:val="en-US" w:eastAsia="zh-CN"/>
        </w:rPr>
      </w:pPr>
      <w:r>
        <w:rPr>
          <w:rFonts w:hint="eastAsia" w:ascii="仿宋" w:hAnsi="仿宋" w:eastAsia="仿宋" w:cs="仿宋_GB2312"/>
          <w:bCs/>
          <w:color w:val="auto"/>
          <w:kern w:val="0"/>
          <w:sz w:val="32"/>
          <w:szCs w:val="32"/>
          <w:lang w:val="en-US" w:eastAsia="zh-CN"/>
        </w:rPr>
        <w:t>2023年11月</w:t>
      </w:r>
      <w:r>
        <w:rPr>
          <w:rFonts w:hint="eastAsia" w:ascii="仿宋" w:hAnsi="仿宋" w:eastAsia="仿宋" w:cs="仿宋_GB2312"/>
          <w:bCs/>
          <w:color w:val="auto"/>
          <w:kern w:val="0"/>
          <w:sz w:val="32"/>
          <w:szCs w:val="32"/>
          <w:shd w:val="clear" w:color="auto" w:fill="auto"/>
          <w:lang w:val="en-US" w:eastAsia="zh-CN"/>
        </w:rPr>
        <w:t>10</w:t>
      </w:r>
      <w:r>
        <w:rPr>
          <w:rFonts w:hint="eastAsia" w:ascii="仿宋" w:hAnsi="仿宋" w:eastAsia="仿宋" w:cs="仿宋_GB2312"/>
          <w:bCs/>
          <w:color w:val="auto"/>
          <w:kern w:val="0"/>
          <w:sz w:val="32"/>
          <w:szCs w:val="32"/>
          <w:lang w:val="en-US" w:eastAsia="zh-CN"/>
        </w:rPr>
        <w:t>日，经审核，台江区文化体育和旅游局对移送证据予以采信。</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olor w:val="auto"/>
          <w:sz w:val="32"/>
          <w:szCs w:val="32"/>
          <w:lang w:val="en-US" w:eastAsia="zh-CN"/>
        </w:rPr>
        <w:t>2023</w:t>
      </w:r>
      <w:r>
        <w:rPr>
          <w:rFonts w:hint="eastAsia" w:ascii="仿宋_GB2312" w:hAnsi="宋体" w:eastAsia="仿宋_GB2312"/>
          <w:color w:val="auto"/>
          <w:sz w:val="32"/>
          <w:szCs w:val="32"/>
        </w:rPr>
        <w:t>年</w:t>
      </w:r>
      <w:r>
        <w:rPr>
          <w:rFonts w:hint="eastAsia" w:ascii="仿宋_GB2312" w:hAnsi="宋体" w:eastAsia="仿宋_GB2312"/>
          <w:color w:val="auto"/>
          <w:sz w:val="32"/>
          <w:szCs w:val="32"/>
          <w:u w:val="none"/>
          <w:lang w:val="en-US" w:eastAsia="zh-CN"/>
        </w:rPr>
        <w:t>11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13</w:t>
      </w:r>
      <w:r>
        <w:rPr>
          <w:rFonts w:hint="eastAsia" w:ascii="仿宋_GB2312" w:hAnsi="宋体" w:eastAsia="仿宋_GB2312"/>
          <w:color w:val="auto"/>
          <w:sz w:val="32"/>
          <w:szCs w:val="32"/>
        </w:rPr>
        <w:t>日</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李XX受台江区XXX歌厅法定代表人卓志勇委托，按《调查询问通知书》要求，至台江区文化市场综合执法大队办公室接受调查询问，对台江区XXX歌厅在</w:t>
      </w:r>
      <w:r>
        <w:rPr>
          <w:rFonts w:hint="eastAsia" w:ascii="仿宋" w:hAnsi="仿宋" w:eastAsia="仿宋" w:cs="仿宋"/>
          <w:color w:val="auto"/>
          <w:sz w:val="32"/>
          <w:szCs w:val="32"/>
          <w:lang w:val="en-US" w:eastAsia="zh-CN"/>
        </w:rPr>
        <w:t>2019年2月至2021年12月期间容纳陈某等人逼迫的未成年少女在场所内从事有偿陪侍服务的</w:t>
      </w:r>
      <w:r>
        <w:rPr>
          <w:rFonts w:hint="eastAsia" w:ascii="仿宋_GB2312" w:hAnsi="仿宋_GB2312" w:eastAsia="仿宋_GB2312" w:cs="仿宋_GB2312"/>
          <w:color w:val="auto"/>
          <w:sz w:val="32"/>
          <w:szCs w:val="32"/>
          <w:lang w:val="en-US" w:eastAsia="zh-CN"/>
        </w:rPr>
        <w:t>相关情况进行了陈述，并配合执法人员制作《调查询问笔录》1份。</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_GB2312"/>
          <w:bCs/>
          <w:color w:val="auto"/>
          <w:kern w:val="0"/>
          <w:sz w:val="32"/>
          <w:szCs w:val="32"/>
          <w:u w:val="none"/>
          <w:lang w:val="en-US" w:eastAsia="zh-CN"/>
        </w:rPr>
        <w:t>执法人员通过</w:t>
      </w:r>
      <w:r>
        <w:rPr>
          <w:rFonts w:hint="eastAsia" w:ascii="仿宋_GB2312" w:hAnsi="仿宋_GB2312" w:eastAsia="仿宋_GB2312" w:cs="仿宋_GB2312"/>
          <w:color w:val="auto"/>
          <w:sz w:val="32"/>
          <w:szCs w:val="32"/>
          <w:lang w:val="en-US" w:eastAsia="zh-CN"/>
        </w:rPr>
        <w:t>接收</w:t>
      </w:r>
      <w:r>
        <w:rPr>
          <w:rFonts w:hint="eastAsia" w:ascii="仿宋" w:hAnsi="仿宋" w:eastAsia="仿宋" w:cs="仿宋_GB2312"/>
          <w:bCs/>
          <w:color w:val="auto"/>
          <w:kern w:val="0"/>
          <w:sz w:val="32"/>
          <w:szCs w:val="32"/>
          <w:u w:val="none"/>
          <w:lang w:val="en-US" w:eastAsia="zh-CN"/>
        </w:rPr>
        <w:t>审核</w:t>
      </w:r>
      <w:r>
        <w:rPr>
          <w:rFonts w:hint="eastAsia" w:ascii="仿宋_GB2312" w:hAnsi="仿宋_GB2312" w:eastAsia="仿宋_GB2312" w:cs="仿宋_GB2312"/>
          <w:color w:val="auto"/>
          <w:sz w:val="32"/>
          <w:szCs w:val="32"/>
          <w:lang w:val="en-US" w:eastAsia="zh-CN"/>
        </w:rPr>
        <w:t>涉案资料、</w:t>
      </w:r>
      <w:r>
        <w:rPr>
          <w:rFonts w:hint="eastAsia" w:ascii="仿宋" w:hAnsi="仿宋" w:eastAsia="仿宋" w:cs="仿宋_GB2312"/>
          <w:bCs/>
          <w:color w:val="auto"/>
          <w:kern w:val="0"/>
          <w:sz w:val="32"/>
          <w:szCs w:val="32"/>
          <w:u w:val="none"/>
          <w:lang w:val="en-US" w:eastAsia="zh-CN"/>
        </w:rPr>
        <w:t>调查询问当事人等取证方式，收集调取证据如下：</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1、被告人陈X2022年2月22日的《讯问笔录》1份，证明其2019年2月至2021年12月期间控制王某、陈某晞等数十名未成年人少女先后在福州各大娱乐场所进行有偿陪侍。</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2、证人肖</w:t>
      </w:r>
      <w:r>
        <w:rPr>
          <w:rFonts w:hint="eastAsia" w:ascii="仿宋" w:hAnsi="仿宋" w:eastAsia="仿宋" w:cs="仿宋_GB2312"/>
          <w:sz w:val="32"/>
          <w:szCs w:val="32"/>
          <w:lang w:val="en-US" w:eastAsia="zh-CN"/>
        </w:rPr>
        <w:t>X</w:t>
      </w:r>
      <w:r>
        <w:rPr>
          <w:rFonts w:hint="eastAsia" w:ascii="仿宋" w:hAnsi="仿宋" w:eastAsia="仿宋" w:cs="仿宋"/>
          <w:color w:val="auto"/>
          <w:sz w:val="32"/>
          <w:szCs w:val="32"/>
          <w:lang w:val="en-US" w:eastAsia="zh-CN"/>
        </w:rPr>
        <w:t>峰2022年5月9日的《询问笔录》1份，证明肖立峰2021年12月17日给台江区XXX歌厅消费者陈杨辉安排未成年女孩艺名莫涵涵、小萱提供有偿陪侍。《辨认笔录》1份，证明莫涵涵为王某，小萱为陈某晞。《接收证据材料清单》与附件1份，证明肖</w:t>
      </w:r>
      <w:r>
        <w:rPr>
          <w:rFonts w:hint="eastAsia" w:ascii="仿宋" w:hAnsi="仿宋" w:eastAsia="仿宋" w:cs="仿宋_GB2312"/>
          <w:sz w:val="32"/>
          <w:szCs w:val="32"/>
          <w:lang w:val="en-US" w:eastAsia="zh-CN"/>
        </w:rPr>
        <w:t>X</w:t>
      </w:r>
      <w:r>
        <w:rPr>
          <w:rFonts w:hint="eastAsia" w:ascii="仿宋" w:hAnsi="仿宋" w:eastAsia="仿宋" w:cs="仿宋"/>
          <w:color w:val="auto"/>
          <w:sz w:val="32"/>
          <w:szCs w:val="32"/>
          <w:lang w:val="en-US" w:eastAsia="zh-CN"/>
        </w:rPr>
        <w:t>峰安排有偿陪侍相关的微信往来和交易记录。</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3、证人陈</w:t>
      </w:r>
      <w:r>
        <w:rPr>
          <w:rFonts w:hint="eastAsia" w:ascii="仿宋" w:hAnsi="仿宋" w:eastAsia="仿宋" w:cs="仿宋_GB2312"/>
          <w:sz w:val="32"/>
          <w:szCs w:val="32"/>
          <w:lang w:val="en-US" w:eastAsia="zh-CN"/>
        </w:rPr>
        <w:t>X</w:t>
      </w:r>
      <w:r>
        <w:rPr>
          <w:rFonts w:hint="eastAsia" w:ascii="仿宋" w:hAnsi="仿宋" w:eastAsia="仿宋" w:cs="仿宋"/>
          <w:color w:val="auto"/>
          <w:sz w:val="32"/>
          <w:szCs w:val="32"/>
          <w:lang w:val="en-US" w:eastAsia="zh-CN"/>
        </w:rPr>
        <w:t>辉2022年5月12日《询问笔录》1份，证明其2021年12月17日在台江区XXX歌厅消费，并向外联外号“阿立”(根据陈</w:t>
      </w:r>
      <w:r>
        <w:rPr>
          <w:rFonts w:hint="eastAsia" w:ascii="仿宋" w:hAnsi="仿宋" w:eastAsia="仿宋" w:cs="仿宋_GB2312"/>
          <w:sz w:val="32"/>
          <w:szCs w:val="32"/>
          <w:lang w:val="en-US" w:eastAsia="zh-CN"/>
        </w:rPr>
        <w:t>X</w:t>
      </w:r>
      <w:r>
        <w:rPr>
          <w:rFonts w:hint="eastAsia" w:ascii="仿宋" w:hAnsi="仿宋" w:eastAsia="仿宋" w:cs="仿宋"/>
          <w:color w:val="auto"/>
          <w:sz w:val="32"/>
          <w:szCs w:val="32"/>
          <w:lang w:val="en-US" w:eastAsia="zh-CN"/>
        </w:rPr>
        <w:t>辉提供的电话号码证实“阿立”即肖</w:t>
      </w:r>
      <w:r>
        <w:rPr>
          <w:rFonts w:hint="eastAsia" w:ascii="仿宋" w:hAnsi="仿宋" w:eastAsia="仿宋" w:cs="仿宋_GB2312"/>
          <w:sz w:val="32"/>
          <w:szCs w:val="32"/>
          <w:lang w:val="en-US" w:eastAsia="zh-CN"/>
        </w:rPr>
        <w:t>X</w:t>
      </w:r>
      <w:bookmarkStart w:id="0" w:name="_GoBack"/>
      <w:bookmarkEnd w:id="0"/>
      <w:r>
        <w:rPr>
          <w:rFonts w:hint="eastAsia" w:ascii="仿宋" w:hAnsi="仿宋" w:eastAsia="仿宋" w:cs="仿宋"/>
          <w:color w:val="auto"/>
          <w:sz w:val="32"/>
          <w:szCs w:val="32"/>
          <w:lang w:val="en-US" w:eastAsia="zh-CN"/>
        </w:rPr>
        <w:t>峰)叫了两名陪侍人员(与肖</w:t>
      </w:r>
      <w:r>
        <w:rPr>
          <w:rFonts w:hint="eastAsia" w:ascii="仿宋" w:hAnsi="仿宋" w:eastAsia="仿宋" w:cs="仿宋_GB2312"/>
          <w:sz w:val="32"/>
          <w:szCs w:val="32"/>
          <w:lang w:val="en-US" w:eastAsia="zh-CN"/>
        </w:rPr>
        <w:t>X</w:t>
      </w:r>
      <w:r>
        <w:rPr>
          <w:rFonts w:hint="eastAsia" w:ascii="仿宋" w:hAnsi="仿宋" w:eastAsia="仿宋" w:cs="仿宋"/>
          <w:color w:val="auto"/>
          <w:sz w:val="32"/>
          <w:szCs w:val="32"/>
          <w:lang w:val="en-US" w:eastAsia="zh-CN"/>
        </w:rPr>
        <w:t>峰所述对应)。《辨认笔录》1份，证明陪侍女孩为王某、陈某晞。</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GB" w:eastAsia="zh-CN"/>
        </w:rPr>
        <w:t>4</w:t>
      </w:r>
      <w:r>
        <w:rPr>
          <w:rFonts w:hint="eastAsia" w:ascii="仿宋" w:hAnsi="仿宋" w:eastAsia="仿宋" w:cs="仿宋"/>
          <w:color w:val="auto"/>
          <w:sz w:val="32"/>
          <w:szCs w:val="32"/>
          <w:lang w:val="en-GB" w:eastAsia="zh-CN"/>
        </w:rPr>
        <w:t>、</w:t>
      </w:r>
      <w:r>
        <w:rPr>
          <w:rFonts w:hint="eastAsia" w:ascii="仿宋" w:hAnsi="仿宋" w:eastAsia="仿宋" w:cs="仿宋"/>
          <w:color w:val="auto"/>
          <w:sz w:val="32"/>
          <w:szCs w:val="32"/>
          <w:lang w:val="en-US" w:eastAsia="zh-CN"/>
        </w:rPr>
        <w:t>王某、陈某晞《户籍证明》各1份，证明此二人案发时为未成年人。</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_GB2312" w:hAnsi="仿宋_GB2312" w:eastAsia="仿宋_GB2312" w:cs="仿宋_GB2312"/>
          <w:color w:val="auto"/>
          <w:sz w:val="32"/>
          <w:szCs w:val="32"/>
          <w:lang w:val="en-US" w:eastAsia="zh-CN"/>
        </w:rPr>
        <w:t>台江区XXX歌厅《营业执照》复印件1份，《娱乐场所经营许可证》复印件1份，证明台江区XXX歌厅主体合法。</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6、台江区XXX歌厅卓志勇身份证复印件1份，台江区XXX歌厅李XX身份证复印件1份，《委托书》1份，证明各自身份和委托关系。</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7、台江区XXX歌厅李XX《调查询问笔录》1份，证明执法人员向李XX告知</w:t>
      </w:r>
      <w:r>
        <w:rPr>
          <w:rFonts w:hint="eastAsia" w:ascii="仿宋" w:hAnsi="仿宋" w:eastAsia="仿宋" w:cs="仿宋"/>
          <w:color w:val="auto"/>
          <w:sz w:val="32"/>
          <w:szCs w:val="32"/>
          <w:lang w:val="en-US" w:eastAsia="zh-CN"/>
        </w:rPr>
        <w:t>“陈某等人于2019年2月至2021年12月期间，以诱骗、控制、威胁、殴打等手段逼迫未成年少女在福州市部分娱乐场所等地，其中包括王某、陈某晞在台江区XXX歌厅进行有偿陪侍服务(其中‘部分娱乐场所’包括台江区XXX歌厅)的相关涉案资料。”李XX则承认他作为案发期间场所主要负责人的情况。</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bCs/>
          <w:color w:val="auto"/>
          <w:kern w:val="0"/>
          <w:sz w:val="32"/>
          <w:szCs w:val="32"/>
          <w:u w:val="none"/>
          <w:lang w:val="en-US" w:eastAsia="zh-CN"/>
        </w:rPr>
      </w:pPr>
      <w:r>
        <w:rPr>
          <w:rFonts w:hint="eastAsia" w:ascii="仿宋" w:hAnsi="仿宋" w:eastAsia="仿宋" w:cs="仿宋"/>
          <w:color w:val="auto"/>
          <w:sz w:val="32"/>
          <w:szCs w:val="32"/>
          <w:lang w:val="en-US" w:eastAsia="zh-CN"/>
        </w:rPr>
        <w:t>上述证据符合法律、行政法规、部门规章和规范性文件关于行政执法证据认定的相关规定，查证属实，相互印证，形成完整证据链。应当在</w:t>
      </w:r>
      <w:r>
        <w:rPr>
          <w:rFonts w:hint="eastAsia" w:ascii="仿宋_GB2312" w:hAnsi="仿宋_GB2312" w:eastAsia="仿宋_GB2312" w:cs="仿宋_GB2312"/>
          <w:color w:val="auto"/>
          <w:sz w:val="32"/>
          <w:szCs w:val="32"/>
          <w:lang w:val="en-US" w:eastAsia="zh-CN"/>
        </w:rPr>
        <w:t>台江区XXX歌厅实施《娱乐场所管理条例》第十四条禁止行为一案中予以适用，并符合</w:t>
      </w:r>
      <w:r>
        <w:rPr>
          <w:rFonts w:hint="eastAsia" w:ascii="仿宋" w:hAnsi="仿宋" w:eastAsia="仿宋" w:cs="仿宋_GB2312"/>
          <w:bCs/>
          <w:color w:val="auto"/>
          <w:kern w:val="0"/>
          <w:sz w:val="32"/>
          <w:szCs w:val="32"/>
          <w:u w:val="none"/>
          <w:lang w:val="en-US" w:eastAsia="zh-CN"/>
        </w:rPr>
        <w:t>《福州市文化和旅游行政处罚裁量标准》严重违法情节。</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bCs/>
          <w:kern w:val="0"/>
          <w:sz w:val="32"/>
          <w:szCs w:val="32"/>
          <w:lang w:val="en-US" w:eastAsia="zh-CN"/>
        </w:rPr>
      </w:pPr>
      <w:r>
        <w:rPr>
          <w:rFonts w:hint="eastAsia" w:ascii="仿宋_GB2312" w:hAnsi="仿宋_GB2312" w:eastAsia="仿宋_GB2312" w:cs="仿宋_GB2312"/>
          <w:color w:val="auto"/>
          <w:sz w:val="32"/>
          <w:szCs w:val="32"/>
          <w:lang w:val="en-US" w:eastAsia="zh-CN"/>
        </w:rPr>
        <w:t>2023年12月20日，经</w:t>
      </w:r>
      <w:r>
        <w:rPr>
          <w:rFonts w:hint="eastAsia" w:ascii="仿宋" w:hAnsi="仿宋" w:eastAsia="仿宋" w:cs="仿宋_GB2312"/>
          <w:bCs/>
          <w:color w:val="auto"/>
          <w:kern w:val="0"/>
          <w:sz w:val="32"/>
          <w:szCs w:val="32"/>
          <w:lang w:val="en-US" w:eastAsia="zh-CN"/>
        </w:rPr>
        <w:t>台江区文化体育和旅游局集体讨论认定，</w:t>
      </w:r>
      <w:r>
        <w:rPr>
          <w:rFonts w:hint="eastAsia" w:ascii="仿宋_GB2312" w:hAnsi="仿宋_GB2312" w:eastAsia="仿宋_GB2312" w:cs="仿宋_GB2312"/>
          <w:sz w:val="32"/>
          <w:szCs w:val="32"/>
          <w:lang w:val="en-US" w:eastAsia="zh-CN"/>
        </w:rPr>
        <w:t>台江区XXX歌厅及其从业人员</w:t>
      </w:r>
      <w:r>
        <w:rPr>
          <w:rFonts w:hint="eastAsia" w:ascii="仿宋" w:hAnsi="仿宋" w:eastAsia="仿宋" w:cs="仿宋_GB2312"/>
          <w:bCs/>
          <w:color w:val="auto"/>
          <w:kern w:val="0"/>
          <w:sz w:val="32"/>
          <w:szCs w:val="32"/>
          <w:u w:val="none"/>
          <w:lang w:val="en-US" w:eastAsia="zh-CN"/>
        </w:rPr>
        <w:t>为进入娱乐场所的人员实施《娱乐场所管理条例》禁止行为提供条件</w:t>
      </w:r>
      <w:r>
        <w:rPr>
          <w:rFonts w:hint="eastAsia" w:ascii="仿宋_GB2312" w:hAnsi="仿宋_GB2312" w:eastAsia="仿宋_GB2312" w:cs="仿宋_GB2312"/>
          <w:color w:val="auto"/>
          <w:sz w:val="32"/>
          <w:szCs w:val="32"/>
          <w:lang w:val="en-US" w:eastAsia="zh-CN"/>
        </w:rPr>
        <w:t>，</w:t>
      </w:r>
      <w:r>
        <w:rPr>
          <w:rFonts w:hint="eastAsia" w:ascii="仿宋" w:hAnsi="仿宋" w:eastAsia="仿宋" w:cs="宋体"/>
          <w:color w:val="000000"/>
          <w:sz w:val="32"/>
          <w:szCs w:val="32"/>
          <w:lang w:val="en-US" w:eastAsia="zh-CN"/>
        </w:rPr>
        <w:t>符合</w:t>
      </w:r>
      <w:r>
        <w:rPr>
          <w:rFonts w:hint="eastAsia" w:ascii="仿宋" w:hAnsi="仿宋" w:eastAsia="仿宋" w:cs="宋体"/>
          <w:color w:val="000000"/>
          <w:sz w:val="32"/>
          <w:szCs w:val="32"/>
        </w:rPr>
        <w:t>《</w:t>
      </w:r>
      <w:r>
        <w:rPr>
          <w:rFonts w:hint="eastAsia" w:ascii="仿宋" w:hAnsi="仿宋" w:eastAsia="仿宋" w:cs="仿宋_GB2312"/>
          <w:bCs/>
          <w:kern w:val="0"/>
          <w:sz w:val="32"/>
          <w:szCs w:val="32"/>
          <w:lang w:val="en-US" w:eastAsia="zh-CN"/>
        </w:rPr>
        <w:t>娱乐场所管理条例</w:t>
      </w:r>
      <w:r>
        <w:rPr>
          <w:rFonts w:hint="eastAsia" w:ascii="仿宋" w:hAnsi="仿宋" w:eastAsia="仿宋" w:cs="仿宋_GB2312"/>
          <w:bCs/>
          <w:kern w:val="0"/>
          <w:sz w:val="32"/>
          <w:szCs w:val="32"/>
        </w:rPr>
        <w:t>》第</w:t>
      </w:r>
      <w:r>
        <w:rPr>
          <w:rFonts w:hint="eastAsia" w:ascii="仿宋" w:hAnsi="仿宋" w:eastAsia="仿宋" w:cs="仿宋_GB2312"/>
          <w:bCs/>
          <w:kern w:val="0"/>
          <w:sz w:val="32"/>
          <w:szCs w:val="32"/>
          <w:lang w:val="en-US" w:eastAsia="zh-CN"/>
        </w:rPr>
        <w:t>十四条第四项“</w:t>
      </w:r>
      <w:r>
        <w:rPr>
          <w:rFonts w:ascii="Times New Roman" w:hAnsi="Times New Roman" w:eastAsia="仿宋_GB2312" w:cs="Times New Roman"/>
          <w:sz w:val="32"/>
          <w:szCs w:val="32"/>
        </w:rPr>
        <w:t>娱乐场所及其从业人员不得实施下列行为，不得为</w:t>
      </w:r>
      <w:r>
        <w:rPr>
          <w:rFonts w:hint="eastAsia" w:ascii="仿宋_GB2312" w:hAnsi="仿宋_GB2312" w:eastAsia="仿宋_GB2312" w:cs="仿宋_GB2312"/>
          <w:sz w:val="32"/>
          <w:szCs w:val="32"/>
        </w:rPr>
        <w:t>进入娱乐场所的人员实施下列行为提供条件</w:t>
      </w:r>
      <w:r>
        <w:rPr>
          <w:rFonts w:ascii="仿宋" w:hAnsi="仿宋" w:eastAsia="仿宋" w:cs="仿宋_GB2312"/>
          <w:bCs/>
          <w:kern w:val="0"/>
          <w:sz w:val="32"/>
          <w:szCs w:val="32"/>
        </w:rPr>
        <w:t>：</w:t>
      </w:r>
      <w:r>
        <w:rPr>
          <w:rFonts w:hint="eastAsia" w:ascii="仿宋_GB2312" w:hAnsi="仿宋_GB2312" w:eastAsia="仿宋_GB2312" w:cs="仿宋_GB2312"/>
          <w:sz w:val="32"/>
          <w:szCs w:val="32"/>
        </w:rPr>
        <w:t>(四)提供或者从事以营利为目的的陪侍；</w:t>
      </w:r>
      <w:r>
        <w:rPr>
          <w:rFonts w:hint="eastAsia" w:ascii="仿宋" w:hAnsi="仿宋" w:eastAsia="仿宋" w:cs="仿宋_GB2312"/>
          <w:bCs/>
          <w:kern w:val="0"/>
          <w:sz w:val="32"/>
          <w:szCs w:val="32"/>
          <w:lang w:val="en-US" w:eastAsia="zh-CN"/>
        </w:rPr>
        <w:t>”的违法行为构成要件。</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bCs/>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_GB2312"/>
          <w:bCs/>
          <w:color w:val="auto"/>
          <w:kern w:val="0"/>
          <w:sz w:val="32"/>
          <w:szCs w:val="32"/>
          <w:u w:val="none"/>
          <w:lang w:val="en-US" w:eastAsia="zh-CN"/>
        </w:rPr>
      </w:pPr>
      <w:r>
        <w:rPr>
          <w:rFonts w:hint="eastAsia" w:ascii="仿宋_GB2312" w:hAnsi="仿宋_GB2312" w:eastAsia="仿宋_GB2312" w:cs="仿宋_GB2312"/>
          <w:sz w:val="32"/>
          <w:szCs w:val="32"/>
          <w:lang w:val="en-US" w:eastAsia="zh-CN"/>
        </w:rPr>
        <w:t>鉴于</w:t>
      </w:r>
      <w:r>
        <w:rPr>
          <w:rFonts w:hint="eastAsia" w:ascii="仿宋" w:hAnsi="仿宋" w:eastAsia="仿宋" w:cs="仿宋"/>
          <w:sz w:val="32"/>
          <w:szCs w:val="32"/>
          <w:lang w:val="en-US" w:eastAsia="zh-CN"/>
        </w:rPr>
        <w:t>福州市文化和旅游局《关于落实相关司法建议书工作要求的通知》及福州市晋安区人民法院《司法建议书》(榕晋法建〔2023〕2号)关于</w:t>
      </w:r>
      <w:r>
        <w:rPr>
          <w:rFonts w:hint="eastAsia" w:ascii="仿宋_GB2312" w:hAnsi="仿宋_GB2312" w:eastAsia="仿宋_GB2312" w:cs="仿宋_GB2312"/>
          <w:sz w:val="32"/>
          <w:szCs w:val="32"/>
          <w:lang w:val="en-US" w:eastAsia="zh-CN"/>
        </w:rPr>
        <w:t>“陈某等人的案件</w:t>
      </w:r>
      <w:r>
        <w:rPr>
          <w:rFonts w:hint="eastAsia" w:ascii="仿宋" w:hAnsi="仿宋" w:eastAsia="仿宋" w:cs="仿宋"/>
          <w:sz w:val="32"/>
          <w:szCs w:val="32"/>
          <w:lang w:val="en-US" w:eastAsia="zh-CN"/>
        </w:rPr>
        <w:t>对数十名未成年少女的生理或心理造成极大的摧残，对社会造成极大危害，建议对接收未成年人从业的娱乐场所进行严厉处罚。”的认定。经台江区文化体育和旅游局综合调查研判，认为</w:t>
      </w:r>
      <w:r>
        <w:rPr>
          <w:rFonts w:hint="eastAsia" w:ascii="仿宋_GB2312" w:hAnsi="仿宋_GB2312" w:eastAsia="仿宋_GB2312" w:cs="仿宋_GB2312"/>
          <w:sz w:val="32"/>
          <w:szCs w:val="32"/>
          <w:lang w:val="en-US" w:eastAsia="zh-CN"/>
        </w:rPr>
        <w:t>台江区XXX歌厅</w:t>
      </w:r>
      <w:r>
        <w:rPr>
          <w:rFonts w:hint="eastAsia" w:ascii="仿宋" w:hAnsi="仿宋" w:eastAsia="仿宋" w:cs="宋体"/>
          <w:color w:val="000000"/>
          <w:sz w:val="32"/>
          <w:szCs w:val="32"/>
        </w:rPr>
        <w:t>违反《</w:t>
      </w:r>
      <w:r>
        <w:rPr>
          <w:rFonts w:hint="eastAsia" w:ascii="仿宋" w:hAnsi="仿宋" w:eastAsia="仿宋" w:cs="仿宋_GB2312"/>
          <w:bCs/>
          <w:kern w:val="0"/>
          <w:sz w:val="32"/>
          <w:szCs w:val="32"/>
          <w:lang w:val="en-US" w:eastAsia="zh-CN"/>
        </w:rPr>
        <w:t>娱乐场所管理条例</w:t>
      </w:r>
      <w:r>
        <w:rPr>
          <w:rFonts w:hint="eastAsia" w:ascii="仿宋" w:hAnsi="仿宋" w:eastAsia="仿宋" w:cs="仿宋_GB2312"/>
          <w:bCs/>
          <w:kern w:val="0"/>
          <w:sz w:val="32"/>
          <w:szCs w:val="32"/>
        </w:rPr>
        <w:t>》第</w:t>
      </w:r>
      <w:r>
        <w:rPr>
          <w:rFonts w:hint="eastAsia" w:ascii="仿宋" w:hAnsi="仿宋" w:eastAsia="仿宋" w:cs="仿宋_GB2312"/>
          <w:bCs/>
          <w:kern w:val="0"/>
          <w:sz w:val="32"/>
          <w:szCs w:val="32"/>
          <w:lang w:val="en-US" w:eastAsia="zh-CN"/>
        </w:rPr>
        <w:t>十四条第四项</w:t>
      </w:r>
      <w:r>
        <w:rPr>
          <w:rFonts w:hint="eastAsia" w:ascii="仿宋" w:hAnsi="仿宋" w:eastAsia="仿宋" w:cs="仿宋_GB2312"/>
          <w:bCs/>
          <w:color w:val="auto"/>
          <w:kern w:val="0"/>
          <w:sz w:val="32"/>
          <w:szCs w:val="32"/>
          <w:u w:val="none"/>
          <w:lang w:val="en-US" w:eastAsia="zh-CN" w:bidi="ar-SA"/>
        </w:rPr>
        <w:t>和</w:t>
      </w:r>
      <w:r>
        <w:rPr>
          <w:rFonts w:hint="eastAsia" w:ascii="仿宋" w:hAnsi="仿宋" w:eastAsia="仿宋" w:cs="仿宋_GB2312"/>
          <w:bCs/>
          <w:color w:val="auto"/>
          <w:kern w:val="0"/>
          <w:sz w:val="32"/>
          <w:szCs w:val="32"/>
          <w:u w:val="none"/>
          <w:lang w:val="en-US" w:eastAsia="zh-CN"/>
        </w:rPr>
        <w:t>《福州市文化和旅游行政处罚裁量标准》(FZ01WH-CF-0002)的规定，为进入娱乐场所的人员实施《娱乐场所管理条例》禁止行为提供条件</w:t>
      </w:r>
      <w:r>
        <w:rPr>
          <w:rFonts w:hint="eastAsia" w:ascii="仿宋_GB2312" w:hAnsi="仿宋_GB2312" w:eastAsia="仿宋_GB2312" w:cs="仿宋_GB2312"/>
          <w:color w:val="auto"/>
          <w:sz w:val="32"/>
          <w:szCs w:val="32"/>
          <w:lang w:val="en-US" w:eastAsia="zh-CN"/>
        </w:rPr>
        <w:t>，</w:t>
      </w:r>
      <w:r>
        <w:rPr>
          <w:rFonts w:hint="eastAsia" w:ascii="仿宋" w:hAnsi="仿宋" w:eastAsia="仿宋" w:cs="仿宋_GB2312"/>
          <w:bCs/>
          <w:color w:val="auto"/>
          <w:kern w:val="0"/>
          <w:sz w:val="32"/>
          <w:szCs w:val="32"/>
          <w:u w:val="none"/>
          <w:lang w:val="en-US" w:eastAsia="zh-CN"/>
        </w:rPr>
        <w:t>违法程度严重。应依据《娱乐场所管理条例》</w:t>
      </w:r>
      <w:r>
        <w:rPr>
          <w:rFonts w:hint="eastAsia" w:ascii="仿宋_GB2312" w:hAnsi="仿宋_GB2312" w:eastAsia="仿宋_GB2312" w:cs="仿宋_GB2312"/>
          <w:sz w:val="32"/>
          <w:szCs w:val="32"/>
        </w:rPr>
        <w:t>第四十三条</w:t>
      </w:r>
      <w:r>
        <w:rPr>
          <w:rFonts w:hint="eastAsia" w:ascii="仿宋" w:hAnsi="仿宋" w:eastAsia="仿宋" w:cs="仿宋_GB2312"/>
          <w:bCs/>
          <w:color w:val="auto"/>
          <w:kern w:val="0"/>
          <w:sz w:val="32"/>
          <w:szCs w:val="32"/>
          <w:u w:val="none"/>
          <w:lang w:val="en-US" w:eastAsia="zh-CN"/>
        </w:rPr>
        <w:t>和《福州市文化和旅游行政处罚裁量标准》(FZ01WH-CF-0002)的规定进行处罚。</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_GB2312"/>
          <w:bCs/>
          <w:color w:val="auto"/>
          <w:kern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b w:val="0"/>
          <w:bCs w:val="0"/>
          <w:color w:val="auto"/>
          <w:sz w:val="32"/>
          <w:szCs w:val="32"/>
          <w:lang w:val="en-US" w:eastAsia="zh-CN"/>
        </w:rPr>
        <w:t>台江区XXX歌厅直接负责的主管人员李XX</w:t>
      </w:r>
      <w:r>
        <w:rPr>
          <w:rFonts w:hint="eastAsia" w:ascii="仿宋_GB2312" w:hAnsi="仿宋_GB2312" w:eastAsia="仿宋_GB2312" w:cs="仿宋_GB2312"/>
          <w:color w:val="auto"/>
          <w:sz w:val="32"/>
          <w:szCs w:val="32"/>
          <w:lang w:val="en-US" w:eastAsia="zh-CN"/>
        </w:rPr>
        <w:t>于规定期限内</w:t>
      </w:r>
      <w:r>
        <w:rPr>
          <w:rFonts w:hint="eastAsia" w:ascii="仿宋" w:hAnsi="仿宋" w:eastAsia="仿宋" w:cs="仿宋"/>
          <w:color w:val="000000"/>
          <w:sz w:val="32"/>
          <w:szCs w:val="32"/>
          <w:lang w:val="en-US" w:eastAsia="zh-CN"/>
        </w:rPr>
        <w:t>向本机关提交了《放弃陈述、申辩和听证权利申明》，视为放弃陈述、申辩和听证权利。</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b w:val="0"/>
          <w:bCs w:val="0"/>
          <w:color w:val="auto"/>
          <w:sz w:val="32"/>
          <w:szCs w:val="32"/>
          <w:lang w:val="en-US" w:eastAsia="zh-CN"/>
        </w:rPr>
        <w:t>台江区XXX歌厅直接负责的主管人员李XX</w:t>
      </w:r>
      <w:r>
        <w:rPr>
          <w:rFonts w:hint="eastAsia" w:ascii="仿宋_GB2312" w:hAnsi="仿宋_GB2312" w:eastAsia="仿宋_GB2312" w:cs="仿宋_GB2312"/>
          <w:color w:val="auto"/>
          <w:sz w:val="32"/>
          <w:szCs w:val="32"/>
          <w:lang w:val="en-US" w:eastAsia="zh-CN"/>
        </w:rPr>
        <w:t>于规定期限内</w:t>
      </w:r>
      <w:r>
        <w:rPr>
          <w:rFonts w:hint="eastAsia" w:ascii="仿宋" w:hAnsi="仿宋" w:eastAsia="仿宋" w:cs="仿宋"/>
          <w:color w:val="000000"/>
          <w:sz w:val="32"/>
          <w:szCs w:val="32"/>
          <w:lang w:val="en-US" w:eastAsia="zh-CN"/>
        </w:rPr>
        <w:t>向本机关提交了《放弃陈述、申辩和听证权利申明》，视为放弃陈述、申辩和听证权利。</w:t>
      </w:r>
    </w:p>
    <w:p>
      <w:pPr>
        <w:keepNext w:val="0"/>
        <w:keepLines w:val="0"/>
        <w:pageBreakBefore w:val="0"/>
        <w:widowControl w:val="0"/>
        <w:kinsoku/>
        <w:wordWrap w:val="0"/>
        <w:overflowPunct/>
        <w:topLinePunct w:val="0"/>
        <w:autoSpaceDE/>
        <w:autoSpaceDN/>
        <w:bidi w:val="0"/>
        <w:adjustRightInd/>
        <w:snapToGrid/>
        <w:spacing w:line="240" w:lineRule="auto"/>
        <w:ind w:right="0" w:rightChars="0" w:firstLine="643"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
          <w:bCs w:val="0"/>
          <w:color w:val="auto"/>
          <w:sz w:val="32"/>
          <w:szCs w:val="32"/>
        </w:rPr>
        <w:t>本机关</w:t>
      </w:r>
      <w:r>
        <w:rPr>
          <w:rFonts w:hint="eastAsia" w:ascii="仿宋" w:hAnsi="仿宋" w:eastAsia="仿宋" w:cs="仿宋_GB2312"/>
          <w:b/>
          <w:bCs w:val="0"/>
          <w:color w:val="auto"/>
          <w:sz w:val="32"/>
          <w:szCs w:val="32"/>
          <w:lang w:eastAsia="zh-CN"/>
        </w:rPr>
        <w:t>决定</w:t>
      </w:r>
      <w:r>
        <w:rPr>
          <w:rFonts w:hint="eastAsia" w:ascii="仿宋" w:hAnsi="仿宋" w:eastAsia="仿宋" w:cs="仿宋_GB2312"/>
          <w:b/>
          <w:bCs w:val="0"/>
          <w:color w:val="auto"/>
          <w:sz w:val="32"/>
          <w:szCs w:val="32"/>
          <w:lang w:val="en-US" w:eastAsia="zh-CN"/>
        </w:rPr>
        <w:t>给予</w:t>
      </w:r>
      <w:r>
        <w:rPr>
          <w:rFonts w:hint="eastAsia" w:ascii="仿宋_GB2312" w:hAnsi="仿宋_GB2312" w:eastAsia="仿宋_GB2312" w:cs="仿宋_GB2312"/>
          <w:b/>
          <w:bCs w:val="0"/>
          <w:sz w:val="32"/>
          <w:szCs w:val="32"/>
          <w:lang w:val="en-US" w:eastAsia="zh-CN"/>
        </w:rPr>
        <w:t>台江区XXX歌厅</w:t>
      </w:r>
      <w:r>
        <w:rPr>
          <w:rFonts w:hint="eastAsia" w:ascii="仿宋_GB2312" w:hAnsi="仿宋_GB2312" w:eastAsia="仿宋_GB2312" w:cs="仿宋_GB2312"/>
          <w:b/>
          <w:bCs/>
          <w:color w:val="auto"/>
          <w:sz w:val="32"/>
          <w:szCs w:val="32"/>
          <w:lang w:val="en-US" w:eastAsia="zh-CN"/>
        </w:rPr>
        <w:t>直接负责的主管人员李XX</w:t>
      </w:r>
      <w:r>
        <w:rPr>
          <w:rFonts w:hint="eastAsia" w:ascii="仿宋" w:hAnsi="仿宋" w:eastAsia="仿宋" w:cs="仿宋_GB2312"/>
          <w:b/>
          <w:bCs/>
          <w:color w:val="auto"/>
          <w:kern w:val="0"/>
          <w:sz w:val="32"/>
          <w:szCs w:val="32"/>
          <w:u w:val="none"/>
          <w:lang w:val="en-US" w:eastAsia="zh-CN"/>
        </w:rPr>
        <w:t>作</w:t>
      </w:r>
      <w:r>
        <w:rPr>
          <w:rFonts w:hint="eastAsia" w:ascii="仿宋" w:hAnsi="仿宋" w:eastAsia="仿宋" w:cs="仿宋_GB2312"/>
          <w:b/>
          <w:bCs w:val="0"/>
          <w:color w:val="auto"/>
          <w:kern w:val="0"/>
          <w:sz w:val="32"/>
          <w:szCs w:val="32"/>
          <w:u w:val="none"/>
          <w:lang w:val="en-US" w:eastAsia="zh-CN"/>
        </w:rPr>
        <w:t>出</w:t>
      </w:r>
      <w:r>
        <w:rPr>
          <w:rFonts w:hint="eastAsia" w:ascii="仿宋" w:hAnsi="仿宋" w:eastAsia="仿宋" w:cs="仿宋_GB2312"/>
          <w:b/>
          <w:bCs w:val="0"/>
          <w:color w:val="000000"/>
          <w:kern w:val="0"/>
          <w:sz w:val="32"/>
          <w:szCs w:val="32"/>
          <w:u w:val="none"/>
          <w:lang w:val="en-US" w:eastAsia="zh-CN"/>
        </w:rPr>
        <w:t>如下行政处罚决定：</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宋体"/>
          <w:color w:val="auto"/>
          <w:sz w:val="32"/>
          <w:szCs w:val="32"/>
        </w:rPr>
      </w:pPr>
      <w:r>
        <w:rPr>
          <w:rFonts w:hint="eastAsia" w:ascii="仿宋_GB2312" w:hAnsi="仿宋_GB2312" w:eastAsia="仿宋_GB2312" w:cs="仿宋_GB2312"/>
          <w:color w:val="auto"/>
          <w:sz w:val="32"/>
          <w:szCs w:val="32"/>
          <w:lang w:val="en-US" w:eastAsia="zh-CN"/>
        </w:rPr>
        <w:t>给予贰万(20000)元人民币罚款的行政处罚</w:t>
      </w:r>
      <w:r>
        <w:rPr>
          <w:rFonts w:hint="eastAsia" w:ascii="仿宋" w:hAnsi="仿宋" w:eastAsia="仿宋" w:cs="仿宋_GB2312"/>
          <w:bCs/>
          <w:color w:val="auto"/>
          <w:kern w:val="0"/>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 w:hAnsi="仿宋" w:eastAsia="仿宋" w:cs="宋体"/>
          <w:color w:val="auto"/>
          <w:sz w:val="32"/>
          <w:szCs w:val="32"/>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640" w:firstLineChars="200"/>
        <w:rPr>
          <w:rFonts w:hint="eastAsia" w:ascii="仿宋" w:hAnsi="仿宋" w:eastAsia="仿宋" w:cs="宋体"/>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台江区XXX歌厅直接负责的主管人员李XX</w:t>
      </w:r>
      <w:r>
        <w:rPr>
          <w:rFonts w:hint="eastAsia" w:ascii="仿宋" w:hAnsi="仿宋" w:eastAsia="仿宋" w:cs="宋体"/>
          <w:color w:val="auto"/>
          <w:sz w:val="32"/>
          <w:szCs w:val="32"/>
          <w:lang w:val="en-US" w:eastAsia="zh-CN"/>
        </w:rPr>
        <w:t>应当自收到本决定书之日起十五日内，</w:t>
      </w:r>
      <w:r>
        <w:rPr>
          <w:rFonts w:hint="eastAsia" w:ascii="仿宋" w:hAnsi="仿宋" w:eastAsia="仿宋" w:cs="仿宋_GB2312"/>
          <w:bCs/>
          <w:color w:val="auto"/>
          <w:kern w:val="0"/>
          <w:sz w:val="32"/>
          <w:szCs w:val="32"/>
          <w:lang w:val="en-US" w:eastAsia="zh-CN"/>
        </w:rPr>
        <w:t>通过本机关开具的</w:t>
      </w:r>
      <w:r>
        <w:rPr>
          <w:rFonts w:hint="eastAsia" w:ascii="仿宋" w:hAnsi="仿宋" w:eastAsia="仿宋" w:cs="仿宋_GB2312"/>
          <w:b/>
          <w:bCs w:val="0"/>
          <w:color w:val="auto"/>
          <w:kern w:val="0"/>
          <w:sz w:val="32"/>
          <w:szCs w:val="32"/>
          <w:u w:val="single"/>
          <w:lang w:val="en-US" w:eastAsia="zh-CN"/>
        </w:rPr>
        <w:t>电子缴款书指定的缴款渠道</w:t>
      </w:r>
      <w:r>
        <w:rPr>
          <w:rFonts w:hint="eastAsia" w:ascii="仿宋" w:hAnsi="仿宋" w:eastAsia="仿宋" w:cs="仿宋_GB2312"/>
          <w:bCs/>
          <w:color w:val="auto"/>
          <w:kern w:val="0"/>
          <w:sz w:val="32"/>
          <w:szCs w:val="32"/>
          <w:lang w:val="en-US" w:eastAsia="zh-CN"/>
        </w:rPr>
        <w:t>缴纳罚款。</w:t>
      </w:r>
      <w:r>
        <w:rPr>
          <w:rFonts w:hint="eastAsia" w:ascii="仿宋" w:hAnsi="仿宋" w:eastAsia="仿宋" w:cs="宋体"/>
          <w:color w:val="auto"/>
          <w:sz w:val="32"/>
          <w:szCs w:val="32"/>
          <w:lang w:val="zh-CN" w:eastAsia="zh-CN"/>
        </w:rPr>
        <w:t>逾期不缴纳罚款的，依据《中华人民共和国行政处罚法》第七十二条第一款第(一)项的规定，本机关可每日按罚款数额的百分之三加处罚款，并</w:t>
      </w:r>
      <w:r>
        <w:rPr>
          <w:rFonts w:hint="eastAsia" w:ascii="仿宋" w:hAnsi="仿宋" w:eastAsia="仿宋" w:cs="宋体"/>
          <w:color w:val="auto"/>
          <w:sz w:val="32"/>
          <w:szCs w:val="32"/>
          <w:lang w:val="en-US" w:eastAsia="zh-CN"/>
        </w:rPr>
        <w:t>依据《中华人民共和国行政强制法》第四十六条的规定</w:t>
      </w:r>
      <w:r>
        <w:rPr>
          <w:rFonts w:hint="eastAsia" w:ascii="仿宋" w:hAnsi="仿宋" w:eastAsia="仿宋" w:cs="宋体"/>
          <w:color w:val="auto"/>
          <w:sz w:val="32"/>
          <w:szCs w:val="32"/>
          <w:lang w:val="zh-CN" w:eastAsia="zh-CN"/>
        </w:rPr>
        <w:t>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bCs/>
          <w:color w:val="auto"/>
          <w:sz w:val="32"/>
          <w:szCs w:val="32"/>
          <w:u w:val="single"/>
        </w:rPr>
      </w:pPr>
      <w:r>
        <w:rPr>
          <w:rFonts w:hint="eastAsia" w:ascii="仿宋_GB2312" w:hAnsi="仿宋_GB2312" w:eastAsia="仿宋_GB2312" w:cs="仿宋_GB2312"/>
          <w:b w:val="0"/>
          <w:bCs w:val="0"/>
          <w:color w:val="auto"/>
          <w:sz w:val="32"/>
          <w:szCs w:val="32"/>
          <w:lang w:val="en-US" w:eastAsia="zh-CN"/>
        </w:rPr>
        <w:t>台江区XXX歌厅直接负责的主管人员李XX</w:t>
      </w:r>
      <w:r>
        <w:rPr>
          <w:rFonts w:hint="eastAsia" w:ascii="仿宋" w:hAnsi="仿宋" w:eastAsia="仿宋" w:cs="仿宋"/>
          <w:color w:val="auto"/>
          <w:sz w:val="32"/>
          <w:szCs w:val="32"/>
        </w:rPr>
        <w:t>如对本处罚决定不服，可在收到本决定书之日起六十日内</w:t>
      </w:r>
      <w:r>
        <w:rPr>
          <w:rFonts w:hint="eastAsia" w:ascii="仿宋" w:hAnsi="仿宋" w:eastAsia="仿宋" w:cs="仿宋"/>
          <w:b w:val="0"/>
          <w:bCs/>
          <w:color w:val="auto"/>
          <w:sz w:val="32"/>
          <w:szCs w:val="32"/>
          <w:u w:val="none"/>
        </w:rPr>
        <w:t>向</w:t>
      </w:r>
      <w:r>
        <w:rPr>
          <w:rFonts w:hint="eastAsia" w:ascii="仿宋" w:hAnsi="仿宋" w:eastAsia="仿宋" w:cs="仿宋"/>
          <w:b/>
          <w:bCs w:val="0"/>
          <w:color w:val="auto"/>
          <w:sz w:val="32"/>
          <w:szCs w:val="32"/>
          <w:u w:val="single"/>
          <w:lang w:val="en-US" w:eastAsia="zh-CN"/>
        </w:rPr>
        <w:t>福州市</w:t>
      </w:r>
      <w:r>
        <w:rPr>
          <w:rFonts w:hint="eastAsia" w:ascii="仿宋" w:hAnsi="仿宋" w:eastAsia="仿宋" w:cs="仿宋"/>
          <w:b/>
          <w:bCs w:val="0"/>
          <w:color w:val="auto"/>
          <w:sz w:val="32"/>
          <w:szCs w:val="32"/>
          <w:u w:val="single"/>
        </w:rPr>
        <w:t>台江</w:t>
      </w:r>
      <w:r>
        <w:rPr>
          <w:rFonts w:hint="eastAsia" w:ascii="仿宋" w:hAnsi="仿宋" w:eastAsia="仿宋" w:cs="仿宋"/>
          <w:b/>
          <w:color w:val="auto"/>
          <w:sz w:val="32"/>
          <w:szCs w:val="32"/>
          <w:u w:val="single"/>
        </w:rPr>
        <w:t>区人民政府</w:t>
      </w:r>
      <w:r>
        <w:rPr>
          <w:rFonts w:hint="eastAsia" w:ascii="仿宋" w:hAnsi="仿宋" w:eastAsia="仿宋" w:cs="仿宋"/>
          <w:color w:val="auto"/>
          <w:sz w:val="32"/>
          <w:szCs w:val="32"/>
        </w:rPr>
        <w:t>申请行政复议，也可在收到本决定书之日起六个月内直接向</w:t>
      </w:r>
      <w:r>
        <w:rPr>
          <w:rFonts w:hint="eastAsia" w:ascii="仿宋" w:hAnsi="仿宋" w:eastAsia="仿宋" w:cs="仿宋"/>
          <w:b/>
          <w:bCs/>
          <w:color w:val="auto"/>
          <w:sz w:val="32"/>
          <w:szCs w:val="32"/>
          <w:u w:val="single"/>
        </w:rPr>
        <w:t>福州市晋安区</w:t>
      </w:r>
      <w:r>
        <w:rPr>
          <w:rFonts w:hint="eastAsia" w:ascii="仿宋" w:hAnsi="仿宋" w:eastAsia="仿宋" w:cs="仿宋"/>
          <w:color w:val="auto"/>
          <w:sz w:val="32"/>
          <w:szCs w:val="32"/>
        </w:rPr>
        <w:t>人民法院提起行政诉讼。行政复议或者行政诉讼期间，本处罚决定不停止执行。</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s="宋体"/>
          <w:color w:val="auto"/>
          <w:sz w:val="32"/>
          <w:szCs w:val="32"/>
        </w:rPr>
      </w:pPr>
      <w:r>
        <w:rPr>
          <w:rFonts w:hint="eastAsia" w:ascii="仿宋" w:hAnsi="仿宋" w:eastAsia="仿宋" w:cs="仿宋"/>
          <w:color w:val="auto"/>
          <w:sz w:val="32"/>
          <w:szCs w:val="32"/>
        </w:rPr>
        <w:t>逾期不申请行政复议或者提起行政诉讼，又不履行本处罚决定，经催告后仍未履行义务的，依据《中华人民共和国行政强制法》第五十四条的规定，本机关可申请人民法院强制执行。</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olor w:val="auto"/>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联系地址：福州市台江区学军路92号1003室</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林</w:t>
      </w:r>
      <w:r>
        <w:rPr>
          <w:rFonts w:hint="eastAsia" w:ascii="仿宋" w:hAnsi="仿宋" w:eastAsia="仿宋"/>
          <w:color w:val="auto"/>
          <w:sz w:val="32"/>
          <w:szCs w:val="32"/>
          <w:lang w:eastAsia="zh-CN"/>
        </w:rPr>
        <w:t>XX</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石</w:t>
      </w:r>
      <w:r>
        <w:rPr>
          <w:rFonts w:hint="eastAsia" w:ascii="仿宋" w:hAnsi="仿宋" w:eastAsia="仿宋" w:cs="仿宋_GB2312"/>
          <w:sz w:val="32"/>
          <w:szCs w:val="32"/>
          <w:lang w:val="en-US" w:eastAsia="zh-CN"/>
        </w:rPr>
        <w:t>XXX</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联系电话：0591-83251196</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olor w:val="auto"/>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color w:val="auto"/>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ascii="仿宋" w:hAnsi="仿宋" w:eastAsia="仿宋"/>
          <w:color w:val="auto"/>
          <w:sz w:val="32"/>
          <w:szCs w:val="32"/>
        </w:rPr>
      </w:pPr>
      <w:r>
        <w:rPr>
          <w:rFonts w:hint="eastAsia" w:ascii="仿宋" w:hAnsi="仿宋" w:eastAsia="仿宋" w:cs="仿宋"/>
          <w:bCs/>
          <w:color w:val="auto"/>
          <w:sz w:val="32"/>
          <w:szCs w:val="32"/>
          <w:u w:val="none"/>
          <w:lang w:val="en-US" w:eastAsia="zh-CN"/>
        </w:rPr>
        <w:t>福州市台江区文化体育和旅游局</w:t>
      </w:r>
    </w:p>
    <w:p>
      <w:pPr>
        <w:keepNext w:val="0"/>
        <w:keepLines w:val="0"/>
        <w:pageBreakBefore w:val="0"/>
        <w:widowControl w:val="0"/>
        <w:tabs>
          <w:tab w:val="left" w:pos="5460"/>
        </w:tabs>
        <w:kinsoku/>
        <w:wordWrap w:val="0"/>
        <w:overflowPunct/>
        <w:topLinePunct w:val="0"/>
        <w:autoSpaceDE/>
        <w:autoSpaceDN/>
        <w:bidi w:val="0"/>
        <w:adjustRightInd/>
        <w:snapToGrid/>
        <w:ind w:right="640"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ab/>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28</w:t>
      </w:r>
      <w:r>
        <w:rPr>
          <w:rFonts w:hint="eastAsia" w:ascii="仿宋" w:hAnsi="仿宋" w:eastAsia="仿宋"/>
          <w:color w:val="auto"/>
          <w:sz w:val="32"/>
          <w:szCs w:val="32"/>
        </w:rPr>
        <w:t>日</w:t>
      </w:r>
    </w:p>
    <w:sectPr>
      <w:footerReference r:id="rId3" w:type="default"/>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67197"/>
      <w:docPartObj>
        <w:docPartGallery w:val="autotext"/>
      </w:docPartObj>
    </w:sdtPr>
    <w:sdtEndPr>
      <w:rPr>
        <w:rFonts w:ascii="仿宋" w:hAnsi="仿宋" w:eastAsia="仿宋"/>
        <w:sz w:val="21"/>
        <w:szCs w:val="21"/>
      </w:rPr>
    </w:sdtEndPr>
    <w:sdtContent>
      <w:sdt>
        <w:sdtPr>
          <w:rPr>
            <w:rFonts w:ascii="仿宋" w:hAnsi="仿宋" w:eastAsia="仿宋"/>
            <w:sz w:val="21"/>
            <w:szCs w:val="21"/>
          </w:rPr>
          <w:id w:val="171357217"/>
          <w:docPartObj>
            <w:docPartGallery w:val="autotext"/>
          </w:docPartObj>
        </w:sdtPr>
        <w:sdtEndPr>
          <w:rPr>
            <w:rFonts w:ascii="仿宋" w:hAnsi="仿宋" w:eastAsia="仿宋"/>
            <w:sz w:val="21"/>
            <w:szCs w:val="21"/>
          </w:rPr>
        </w:sdtEndPr>
        <w:sdtContent>
          <w:p>
            <w:pPr>
              <w:pStyle w:val="2"/>
              <w:jc w:val="center"/>
              <w:rPr>
                <w:rFonts w:ascii="仿宋" w:hAnsi="仿宋" w:eastAsia="仿宋"/>
                <w:sz w:val="21"/>
                <w:szCs w:val="21"/>
              </w:rPr>
            </w:pPr>
            <w:r>
              <w:rPr>
                <w:rFonts w:hint="eastAsia" w:ascii="仿宋" w:hAnsi="仿宋" w:eastAsia="仿宋"/>
                <w:sz w:val="21"/>
                <w:szCs w:val="21"/>
              </w:rPr>
              <w:t>第</w:t>
            </w:r>
            <w:r>
              <w:rPr>
                <w:rFonts w:ascii="仿宋" w:hAnsi="仿宋" w:eastAsia="仿宋"/>
                <w:sz w:val="21"/>
                <w:szCs w:val="21"/>
                <w:lang w:val="zh-CN"/>
              </w:rPr>
              <w:t xml:space="preserve"> </w:t>
            </w:r>
            <w:r>
              <w:rPr>
                <w:rFonts w:ascii="仿宋" w:hAnsi="仿宋" w:eastAsia="仿宋"/>
                <w:b/>
                <w:sz w:val="21"/>
                <w:szCs w:val="21"/>
              </w:rPr>
              <w:fldChar w:fldCharType="begin"/>
            </w:r>
            <w:r>
              <w:rPr>
                <w:rFonts w:ascii="仿宋" w:hAnsi="仿宋" w:eastAsia="仿宋"/>
                <w:b/>
                <w:sz w:val="21"/>
                <w:szCs w:val="21"/>
              </w:rPr>
              <w:instrText xml:space="preserve">PAGE</w:instrText>
            </w:r>
            <w:r>
              <w:rPr>
                <w:rFonts w:ascii="仿宋" w:hAnsi="仿宋" w:eastAsia="仿宋"/>
                <w:b/>
                <w:sz w:val="21"/>
                <w:szCs w:val="21"/>
              </w:rPr>
              <w:fldChar w:fldCharType="separate"/>
            </w:r>
            <w:r>
              <w:rPr>
                <w:rFonts w:ascii="仿宋" w:hAnsi="仿宋" w:eastAsia="仿宋"/>
                <w:b/>
                <w:sz w:val="21"/>
                <w:szCs w:val="21"/>
              </w:rPr>
              <w:t>1</w:t>
            </w:r>
            <w:r>
              <w:rPr>
                <w:rFonts w:ascii="仿宋" w:hAnsi="仿宋" w:eastAsia="仿宋"/>
                <w:b/>
                <w:sz w:val="21"/>
                <w:szCs w:val="21"/>
              </w:rPr>
              <w:fldChar w:fldCharType="end"/>
            </w:r>
            <w:r>
              <w:rPr>
                <w:rFonts w:hint="eastAsia" w:ascii="仿宋" w:hAnsi="仿宋" w:eastAsia="仿宋"/>
                <w:b/>
                <w:sz w:val="21"/>
                <w:szCs w:val="21"/>
              </w:rPr>
              <w:t>页</w:t>
            </w:r>
            <w:r>
              <w:rPr>
                <w:rFonts w:hint="eastAsia" w:ascii="仿宋" w:hAnsi="仿宋" w:eastAsia="仿宋"/>
                <w:sz w:val="21"/>
                <w:szCs w:val="21"/>
                <w:lang w:val="zh-CN"/>
              </w:rPr>
              <w:t xml:space="preserve"> 共</w:t>
            </w:r>
            <w:r>
              <w:rPr>
                <w:rFonts w:ascii="仿宋" w:hAnsi="仿宋" w:eastAsia="仿宋"/>
                <w:b/>
                <w:sz w:val="21"/>
                <w:szCs w:val="21"/>
              </w:rPr>
              <w:fldChar w:fldCharType="begin"/>
            </w:r>
            <w:r>
              <w:rPr>
                <w:rFonts w:ascii="仿宋" w:hAnsi="仿宋" w:eastAsia="仿宋"/>
                <w:b/>
                <w:sz w:val="21"/>
                <w:szCs w:val="21"/>
              </w:rPr>
              <w:instrText xml:space="preserve">NUMPAGES</w:instrText>
            </w:r>
            <w:r>
              <w:rPr>
                <w:rFonts w:ascii="仿宋" w:hAnsi="仿宋" w:eastAsia="仿宋"/>
                <w:b/>
                <w:sz w:val="21"/>
                <w:szCs w:val="21"/>
              </w:rPr>
              <w:fldChar w:fldCharType="separate"/>
            </w:r>
            <w:r>
              <w:rPr>
                <w:rFonts w:ascii="仿宋" w:hAnsi="仿宋" w:eastAsia="仿宋"/>
                <w:b/>
                <w:sz w:val="21"/>
                <w:szCs w:val="21"/>
              </w:rPr>
              <w:t>5</w:t>
            </w:r>
            <w:r>
              <w:rPr>
                <w:rFonts w:ascii="仿宋" w:hAnsi="仿宋" w:eastAsia="仿宋"/>
                <w:b/>
                <w:sz w:val="21"/>
                <w:szCs w:val="21"/>
              </w:rPr>
              <w:fldChar w:fldCharType="end"/>
            </w:r>
            <w:r>
              <w:rPr>
                <w:rFonts w:hint="eastAsia" w:ascii="仿宋" w:hAnsi="仿宋" w:eastAsia="仿宋"/>
                <w:b/>
                <w:sz w:val="21"/>
                <w:szCs w:val="21"/>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lOTJhZGJiYjYzMjQyNjI5M2M3NjhiNTExMDNiNmQifQ=="/>
  </w:docVars>
  <w:rsids>
    <w:rsidRoot w:val="00E8642D"/>
    <w:rsid w:val="00004B1E"/>
    <w:rsid w:val="0002306E"/>
    <w:rsid w:val="000337EB"/>
    <w:rsid w:val="000E4DCC"/>
    <w:rsid w:val="0010509E"/>
    <w:rsid w:val="00127160"/>
    <w:rsid w:val="00127711"/>
    <w:rsid w:val="00137229"/>
    <w:rsid w:val="00162AAF"/>
    <w:rsid w:val="001867B1"/>
    <w:rsid w:val="00204B74"/>
    <w:rsid w:val="00211A2D"/>
    <w:rsid w:val="00220A6A"/>
    <w:rsid w:val="002256B8"/>
    <w:rsid w:val="00284D43"/>
    <w:rsid w:val="00312945"/>
    <w:rsid w:val="00316599"/>
    <w:rsid w:val="00327505"/>
    <w:rsid w:val="00343855"/>
    <w:rsid w:val="003855CA"/>
    <w:rsid w:val="003B6BE5"/>
    <w:rsid w:val="00404482"/>
    <w:rsid w:val="00404C5E"/>
    <w:rsid w:val="0049455B"/>
    <w:rsid w:val="004C0B60"/>
    <w:rsid w:val="004C3E17"/>
    <w:rsid w:val="004C4E3D"/>
    <w:rsid w:val="004E31EB"/>
    <w:rsid w:val="00562B58"/>
    <w:rsid w:val="005B0B73"/>
    <w:rsid w:val="005F47EC"/>
    <w:rsid w:val="00716527"/>
    <w:rsid w:val="007321A5"/>
    <w:rsid w:val="00782CE0"/>
    <w:rsid w:val="007A1D2E"/>
    <w:rsid w:val="007B1282"/>
    <w:rsid w:val="00912C3B"/>
    <w:rsid w:val="00937D2D"/>
    <w:rsid w:val="009813CC"/>
    <w:rsid w:val="009A561D"/>
    <w:rsid w:val="009A67FB"/>
    <w:rsid w:val="009F31F4"/>
    <w:rsid w:val="009F4017"/>
    <w:rsid w:val="00A016D5"/>
    <w:rsid w:val="00A20328"/>
    <w:rsid w:val="00A26609"/>
    <w:rsid w:val="00B71A20"/>
    <w:rsid w:val="00B84AA5"/>
    <w:rsid w:val="00B90615"/>
    <w:rsid w:val="00BC37A1"/>
    <w:rsid w:val="00BD134D"/>
    <w:rsid w:val="00BD31FD"/>
    <w:rsid w:val="00C7219E"/>
    <w:rsid w:val="00D00B68"/>
    <w:rsid w:val="00D2481B"/>
    <w:rsid w:val="00D35E31"/>
    <w:rsid w:val="00D47ABB"/>
    <w:rsid w:val="00DD3D1E"/>
    <w:rsid w:val="00E44E2F"/>
    <w:rsid w:val="00E8642D"/>
    <w:rsid w:val="00E9443E"/>
    <w:rsid w:val="00EA206D"/>
    <w:rsid w:val="00EC462C"/>
    <w:rsid w:val="00EC75F3"/>
    <w:rsid w:val="00ED0A9F"/>
    <w:rsid w:val="00F02B8F"/>
    <w:rsid w:val="00F367FD"/>
    <w:rsid w:val="00FB0936"/>
    <w:rsid w:val="03B112D6"/>
    <w:rsid w:val="04427DB9"/>
    <w:rsid w:val="06946352"/>
    <w:rsid w:val="06F94D8B"/>
    <w:rsid w:val="074309F6"/>
    <w:rsid w:val="08F6789B"/>
    <w:rsid w:val="0EA559D4"/>
    <w:rsid w:val="116942D9"/>
    <w:rsid w:val="19C06428"/>
    <w:rsid w:val="1AE3371F"/>
    <w:rsid w:val="1D1207F7"/>
    <w:rsid w:val="1E20054D"/>
    <w:rsid w:val="1FE7044F"/>
    <w:rsid w:val="2BFA7F82"/>
    <w:rsid w:val="2DE714B3"/>
    <w:rsid w:val="30D44329"/>
    <w:rsid w:val="316A69FC"/>
    <w:rsid w:val="335D2A57"/>
    <w:rsid w:val="33D22636"/>
    <w:rsid w:val="3A7F4A00"/>
    <w:rsid w:val="3C49226F"/>
    <w:rsid w:val="3FF46F54"/>
    <w:rsid w:val="42062857"/>
    <w:rsid w:val="44790F44"/>
    <w:rsid w:val="45BB3838"/>
    <w:rsid w:val="49AF110F"/>
    <w:rsid w:val="4F2C3472"/>
    <w:rsid w:val="56C9121F"/>
    <w:rsid w:val="57007337"/>
    <w:rsid w:val="57151371"/>
    <w:rsid w:val="58773629"/>
    <w:rsid w:val="5C773268"/>
    <w:rsid w:val="613C540F"/>
    <w:rsid w:val="61E32995"/>
    <w:rsid w:val="66745885"/>
    <w:rsid w:val="676A497C"/>
    <w:rsid w:val="68804696"/>
    <w:rsid w:val="6C6C5524"/>
    <w:rsid w:val="6CE24638"/>
    <w:rsid w:val="6E7A040C"/>
    <w:rsid w:val="70480FAF"/>
    <w:rsid w:val="73727760"/>
    <w:rsid w:val="74AD7B47"/>
    <w:rsid w:val="76E06DC2"/>
    <w:rsid w:val="77CB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themeColor="followedHyperlink"/>
      <w:u w:val="single"/>
    </w:rPr>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1205</Words>
  <Characters>1293</Characters>
  <Lines>15</Lines>
  <Paragraphs>4</Paragraphs>
  <TotalTime>0</TotalTime>
  <ScaleCrop>false</ScaleCrop>
  <LinksUpToDate>false</LinksUpToDate>
  <CharactersWithSpaces>1294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2021-03-02T06:52:00Z</dcterms:created>
  <dc:creator>PC</dc:creator>
  <cp:lastModifiedBy>pc</cp:lastModifiedBy>
  <cp:lastPrinted>2023-12-27T02:18:00Z</cp:lastPrinted>
  <dcterms:modified xsi:type="dcterms:W3CDTF">2024-01-02T01:11:29Z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2FF26BA6DE384E11A39FE1CD680BC7F4</vt:lpwstr>
  </property>
</Properties>
</file>