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jc w:val="center"/>
        <w:textAlignment w:val="auto"/>
        <w:rPr>
          <w:rFonts w:cs="方正小标宋简体" w:asciiTheme="majorEastAsia" w:hAnsiTheme="majorEastAsia" w:eastAsiaTheme="majorEastAsia"/>
          <w:b/>
          <w:bCs/>
          <w:spacing w:val="20"/>
          <w:sz w:val="44"/>
          <w:szCs w:val="44"/>
        </w:rPr>
      </w:pPr>
      <w:r>
        <w:rPr>
          <w:rFonts w:hint="eastAsia" w:cs="方正小标宋简体" w:asciiTheme="majorEastAsia" w:hAnsiTheme="majorEastAsia" w:eastAsiaTheme="majorEastAsia"/>
          <w:b/>
          <w:bCs/>
          <w:spacing w:val="20"/>
          <w:sz w:val="44"/>
          <w:szCs w:val="44"/>
        </w:rPr>
        <w:t>行政处罚决定书</w:t>
      </w:r>
    </w:p>
    <w:p>
      <w:pPr>
        <w:keepNext w:val="0"/>
        <w:keepLines w:val="0"/>
        <w:pageBreakBefore w:val="0"/>
        <w:widowControl w:val="0"/>
        <w:kinsoku/>
        <w:wordWrap w:val="0"/>
        <w:overflowPunct/>
        <w:topLinePunct w:val="0"/>
        <w:autoSpaceDE/>
        <w:autoSpaceDN/>
        <w:bidi w:val="0"/>
        <w:adjustRightInd/>
        <w:snapToGrid/>
        <w:ind w:right="19" w:rightChars="9" w:firstLine="3588" w:firstLineChars="1196"/>
        <w:jc w:val="right"/>
        <w:textAlignment w:val="auto"/>
        <w:rPr>
          <w:rFonts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rPr>
        <w:t>台</w:t>
      </w:r>
      <w:r>
        <w:rPr>
          <w:rFonts w:hint="eastAsia" w:ascii="仿宋" w:hAnsi="仿宋" w:eastAsia="仿宋"/>
          <w:sz w:val="30"/>
          <w:szCs w:val="30"/>
          <w:lang w:eastAsia="zh-CN"/>
        </w:rPr>
        <w:t>)</w:t>
      </w:r>
      <w:r>
        <w:rPr>
          <w:rFonts w:hint="eastAsia" w:ascii="仿宋" w:hAnsi="仿宋" w:eastAsia="仿宋"/>
          <w:sz w:val="30"/>
          <w:szCs w:val="30"/>
        </w:rPr>
        <w:t>文</w:t>
      </w:r>
      <w:r>
        <w:rPr>
          <w:rFonts w:hint="eastAsia" w:ascii="仿宋" w:hAnsi="仿宋" w:eastAsia="仿宋"/>
          <w:bCs/>
          <w:kern w:val="0"/>
          <w:sz w:val="30"/>
          <w:szCs w:val="30"/>
        </w:rPr>
        <w:t>综</w:t>
      </w:r>
      <w:r>
        <w:rPr>
          <w:rFonts w:hint="eastAsia" w:ascii="仿宋" w:hAnsi="仿宋" w:eastAsia="仿宋"/>
          <w:sz w:val="30"/>
          <w:szCs w:val="30"/>
        </w:rPr>
        <w:t>罚字〔202</w:t>
      </w:r>
      <w:r>
        <w:rPr>
          <w:rFonts w:hint="eastAsia" w:ascii="仿宋" w:hAnsi="仿宋" w:eastAsia="仿宋"/>
          <w:sz w:val="30"/>
          <w:szCs w:val="30"/>
          <w:lang w:val="en-US" w:eastAsia="zh-CN"/>
        </w:rPr>
        <w:t>4</w:t>
      </w:r>
      <w:r>
        <w:rPr>
          <w:rFonts w:hint="eastAsia" w:ascii="仿宋" w:hAnsi="仿宋" w:eastAsia="仿宋"/>
          <w:sz w:val="30"/>
          <w:szCs w:val="30"/>
        </w:rPr>
        <w:t>〕0</w:t>
      </w:r>
      <w:r>
        <w:rPr>
          <w:rFonts w:hint="eastAsia" w:ascii="仿宋" w:hAnsi="仿宋" w:eastAsia="仿宋"/>
          <w:sz w:val="30"/>
          <w:szCs w:val="30"/>
          <w:lang w:val="en-US" w:eastAsia="zh-CN"/>
        </w:rPr>
        <w:t>2</w:t>
      </w:r>
      <w:r>
        <w:rPr>
          <w:rFonts w:hint="eastAsia" w:ascii="仿宋" w:hAnsi="仿宋" w:eastAsia="仿宋"/>
          <w:sz w:val="30"/>
          <w:szCs w:val="30"/>
        </w:rPr>
        <w:t>号</w:t>
      </w:r>
    </w:p>
    <w:p>
      <w:pPr>
        <w:keepNext w:val="0"/>
        <w:keepLines w:val="0"/>
        <w:pageBreakBefore w:val="0"/>
        <w:widowControl w:val="0"/>
        <w:kinsoku/>
        <w:wordWrap w:val="0"/>
        <w:overflowPunct/>
        <w:topLinePunct w:val="0"/>
        <w:autoSpaceDE/>
        <w:autoSpaceDN/>
        <w:bidi w:val="0"/>
        <w:adjustRightInd/>
        <w:snapToGrid/>
        <w:textAlignment w:val="auto"/>
        <w:rPr>
          <w:rFonts w:ascii="仿宋" w:hAnsi="仿宋" w:eastAsia="仿宋"/>
          <w:szCs w:val="21"/>
        </w:rPr>
      </w:pPr>
    </w:p>
    <w:p>
      <w:pPr>
        <w:keepNext w:val="0"/>
        <w:keepLines w:val="0"/>
        <w:pageBreakBefore w:val="0"/>
        <w:widowControl w:val="0"/>
        <w:kinsoku/>
        <w:wordWrap w:val="0"/>
        <w:overflowPunct/>
        <w:topLinePunct w:val="0"/>
        <w:autoSpaceDE/>
        <w:autoSpaceDN/>
        <w:bidi w:val="0"/>
        <w:adjustRightInd/>
        <w:snapToGrid/>
        <w:ind w:right="0" w:rightChars="0"/>
        <w:jc w:val="left"/>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当事人：</w:t>
      </w:r>
      <w:r>
        <w:rPr>
          <w:rFonts w:ascii="仿宋" w:hAnsi="仿宋" w:eastAsia="仿宋" w:cs="仿宋_GB2312"/>
          <w:bCs/>
          <w:kern w:val="0"/>
          <w:sz w:val="32"/>
          <w:szCs w:val="32"/>
        </w:rPr>
        <w:t>福州</w:t>
      </w:r>
      <w:r>
        <w:rPr>
          <w:rFonts w:hint="eastAsia" w:ascii="仿宋" w:hAnsi="仿宋" w:eastAsia="仿宋" w:cs="仿宋_GB2312"/>
          <w:bCs/>
          <w:kern w:val="0"/>
          <w:sz w:val="32"/>
          <w:szCs w:val="32"/>
          <w:lang w:val="en-US" w:eastAsia="zh-CN"/>
        </w:rPr>
        <w:t>双福卓翔娱乐有限公司</w:t>
      </w:r>
    </w:p>
    <w:p>
      <w:pPr>
        <w:keepNext w:val="0"/>
        <w:keepLines w:val="0"/>
        <w:pageBreakBefore w:val="0"/>
        <w:widowControl w:val="0"/>
        <w:kinsoku/>
        <w:wordWrap w:val="0"/>
        <w:overflowPunct/>
        <w:topLinePunct w:val="0"/>
        <w:autoSpaceDE/>
        <w:autoSpaceDN/>
        <w:bidi w:val="0"/>
        <w:adjustRightInd/>
        <w:snapToGrid/>
        <w:ind w:right="0" w:rightChars="0"/>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证照名称及号码：</w:t>
      </w:r>
      <w:r>
        <w:rPr>
          <w:rFonts w:hint="eastAsia" w:ascii="仿宋" w:hAnsi="仿宋" w:eastAsia="仿宋" w:cs="仿宋_GB2312"/>
          <w:bCs/>
          <w:color w:val="000000"/>
          <w:kern w:val="0"/>
          <w:sz w:val="32"/>
          <w:szCs w:val="32"/>
          <w:u w:val="none"/>
          <w:lang w:val="en-US" w:eastAsia="zh-CN"/>
        </w:rPr>
        <w:t>营业执照(</w:t>
      </w:r>
      <w:r>
        <w:rPr>
          <w:rFonts w:hint="eastAsia" w:ascii="仿宋" w:hAnsi="仿宋" w:eastAsia="仿宋"/>
          <w:color w:val="auto"/>
          <w:sz w:val="32"/>
          <w:szCs w:val="32"/>
        </w:rPr>
        <w:t>统一社会信用代码：92350</w:t>
      </w:r>
      <w:r>
        <w:rPr>
          <w:rFonts w:hint="eastAsia" w:ascii="仿宋" w:hAnsi="仿宋" w:eastAsia="仿宋"/>
          <w:color w:val="auto"/>
          <w:sz w:val="32"/>
          <w:szCs w:val="32"/>
          <w:lang w:val="en-US" w:eastAsia="zh-CN"/>
        </w:rPr>
        <w:t>XXX585317XXXX</w:t>
      </w:r>
      <w:r>
        <w:rPr>
          <w:rFonts w:hint="eastAsia" w:ascii="仿宋" w:hAnsi="仿宋" w:eastAsia="仿宋" w:cs="仿宋_GB2312"/>
          <w:bCs/>
          <w:color w:val="000000"/>
          <w:kern w:val="0"/>
          <w:sz w:val="32"/>
          <w:szCs w:val="32"/>
          <w:u w:val="none"/>
          <w:lang w:val="en-US" w:eastAsia="zh-CN"/>
        </w:rPr>
        <w:t>)</w:t>
      </w:r>
    </w:p>
    <w:p>
      <w:pPr>
        <w:keepNext w:val="0"/>
        <w:keepLines w:val="0"/>
        <w:pageBreakBefore w:val="0"/>
        <w:widowControl w:val="0"/>
        <w:kinsoku/>
        <w:wordWrap w:val="0"/>
        <w:overflowPunct/>
        <w:topLinePunct w:val="0"/>
        <w:autoSpaceDE/>
        <w:autoSpaceDN/>
        <w:bidi w:val="0"/>
        <w:adjustRightInd/>
        <w:snapToGrid/>
        <w:ind w:right="0" w:rightChars="0"/>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住所：</w:t>
      </w:r>
      <w:r>
        <w:rPr>
          <w:rFonts w:hint="eastAsia" w:ascii="仿宋" w:hAnsi="仿宋" w:eastAsia="仿宋" w:cs="仿宋_GB2312"/>
          <w:bCs/>
          <w:kern w:val="0"/>
          <w:sz w:val="32"/>
          <w:szCs w:val="32"/>
        </w:rPr>
        <w:t>福州市台江区</w:t>
      </w:r>
      <w:r>
        <w:rPr>
          <w:rFonts w:hint="eastAsia" w:ascii="仿宋" w:hAnsi="仿宋" w:eastAsia="仿宋" w:cs="仿宋_GB2312"/>
          <w:bCs/>
          <w:kern w:val="0"/>
          <w:sz w:val="32"/>
          <w:szCs w:val="32"/>
          <w:lang w:val="en-US" w:eastAsia="zh-CN"/>
        </w:rPr>
        <w:t>XXX路XXX街XXXx二楼</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根据2024年4月7日所收诉求件FZ24040601587“</w:t>
      </w:r>
      <w:r>
        <w:rPr>
          <w:rFonts w:hint="eastAsia" w:ascii="仿宋" w:hAnsi="仿宋" w:eastAsia="仿宋" w:cs="仿宋"/>
          <w:sz w:val="32"/>
          <w:szCs w:val="32"/>
          <w:lang w:val="en-US" w:eastAsia="zh-CN"/>
        </w:rPr>
        <w:t>大玩家(台江万达店)不规范经营，存在误导消费者</w:t>
      </w:r>
      <w:r>
        <w:rPr>
          <w:rFonts w:hint="eastAsia" w:ascii="仿宋" w:hAnsi="仿宋" w:eastAsia="仿宋"/>
          <w:color w:val="auto"/>
          <w:sz w:val="32"/>
          <w:szCs w:val="32"/>
          <w:lang w:val="en-US" w:eastAsia="zh-CN"/>
        </w:rPr>
        <w:t>”的线索，</w:t>
      </w:r>
      <w:r>
        <w:rPr>
          <w:rFonts w:hint="eastAsia" w:ascii="仿宋_GB2312" w:hAnsi="宋体" w:eastAsia="仿宋_GB2312"/>
          <w:color w:val="auto"/>
          <w:sz w:val="32"/>
          <w:szCs w:val="32"/>
          <w:lang w:val="en-US" w:eastAsia="zh-CN"/>
        </w:rPr>
        <w:t>2024年4月10日15时50分台江区文化体育和旅游局两名执法人员林X</w:t>
      </w:r>
      <w:r>
        <w:rPr>
          <w:rFonts w:hint="eastAsia" w:ascii="仿宋" w:hAnsi="仿宋" w:eastAsia="仿宋"/>
          <w:color w:val="auto"/>
          <w:sz w:val="32"/>
          <w:szCs w:val="32"/>
        </w:rPr>
        <w:t>(13010221003)</w:t>
      </w:r>
      <w:r>
        <w:rPr>
          <w:rFonts w:hint="eastAsia" w:ascii="仿宋_GB2312" w:hAnsi="宋体" w:eastAsia="仿宋_GB2312"/>
          <w:color w:val="auto"/>
          <w:sz w:val="32"/>
          <w:szCs w:val="32"/>
          <w:lang w:val="en-US" w:eastAsia="zh-CN"/>
        </w:rPr>
        <w:t>、石XX</w:t>
      </w:r>
      <w:r>
        <w:rPr>
          <w:rFonts w:hint="eastAsia" w:ascii="仿宋" w:hAnsi="仿宋" w:eastAsia="仿宋"/>
          <w:color w:val="auto"/>
          <w:sz w:val="32"/>
          <w:szCs w:val="32"/>
        </w:rPr>
        <w:t>(1301022100</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至</w:t>
      </w:r>
      <w:r>
        <w:rPr>
          <w:rFonts w:hint="eastAsia" w:ascii="仿宋_GB2312" w:hAnsi="仿宋_GB2312" w:eastAsia="仿宋_GB2312" w:cs="仿宋_GB2312"/>
          <w:color w:val="auto"/>
          <w:sz w:val="32"/>
          <w:szCs w:val="32"/>
          <w:lang w:val="en-US" w:eastAsia="zh-CN"/>
        </w:rPr>
        <w:t>福州市</w:t>
      </w:r>
      <w:r>
        <w:rPr>
          <w:rFonts w:hint="eastAsia" w:ascii="仿宋_GB2312" w:hAnsi="仿宋_GB2312" w:eastAsia="仿宋_GB2312" w:cs="仿宋_GB2312"/>
          <w:color w:val="auto"/>
          <w:sz w:val="32"/>
          <w:szCs w:val="32"/>
        </w:rPr>
        <w:t>台江区</w:t>
      </w:r>
      <w:r>
        <w:rPr>
          <w:rFonts w:hint="eastAsia" w:ascii="仿宋_GB2312" w:hAnsi="仿宋_GB2312" w:eastAsia="仿宋_GB2312" w:cs="仿宋_GB2312"/>
          <w:color w:val="auto"/>
          <w:sz w:val="32"/>
          <w:szCs w:val="32"/>
          <w:lang w:val="en-US" w:eastAsia="zh-CN"/>
        </w:rPr>
        <w:t>XXX街XXXx二楼</w:t>
      </w:r>
      <w:r>
        <w:rPr>
          <w:rFonts w:hint="eastAsia" w:ascii="仿宋" w:hAnsi="仿宋" w:eastAsia="仿宋"/>
          <w:color w:val="auto"/>
          <w:sz w:val="32"/>
          <w:szCs w:val="32"/>
          <w:lang w:val="en-US" w:eastAsia="zh-CN"/>
        </w:rPr>
        <w:t>福州双福卓翔娱乐有限公司的“大玩家”向现场负责人阮XX出示执法证件并说明目的后对现场进行检查。发现诉求件提及的兑换物品为“《蛋仔派对》钻石画-黒蛋”，阮XX表示该物品进货时间为2024年3月31日，为诉求人游玩当日晚22时即将关门前，因补货需要先行放上货架，但还未录入电脑系统，故无法用于现场兑换。且阮XX不知道奖品是否备案。</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执法人员全程拍照、录像取证，并制作《现场(勘验)笔录》1份，下发《调查询问通知书》1份，阮XX见证了执法全过程，并在相关文书上签字确认。</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2024年4月11日上午10时10分，阮XX受福州双福卓翔娱乐有限公司法定代表人郭XX委托，至我局接受调查询问，确认《蛋仔派对》钻石画-黒蛋为积分兑换用奖品，于2024年3月31日入库，当日上架时还未录入电脑，也未标注兑换额度，因此拒绝了顾客的兑换要求，并不清楚前期备案具体情况。因此，执法人员认为福州双福卓翔娱乐有限公司可能存在涉嫌</w:t>
      </w:r>
      <w:r>
        <w:rPr>
          <w:rFonts w:hint="eastAsia" w:ascii="仿宋_GB2312" w:hAnsi="仿宋_GB2312" w:eastAsia="仿宋_GB2312" w:cs="仿宋_GB2312"/>
          <w:color w:val="auto"/>
          <w:sz w:val="32"/>
          <w:szCs w:val="32"/>
          <w:lang w:val="en-US" w:eastAsia="zh-CN"/>
        </w:rPr>
        <w:t>进行有奖经营活动而</w:t>
      </w:r>
      <w:r>
        <w:rPr>
          <w:rFonts w:hint="eastAsia" w:ascii="仿宋" w:hAnsi="仿宋" w:eastAsia="仿宋"/>
          <w:color w:val="auto"/>
          <w:sz w:val="32"/>
          <w:szCs w:val="32"/>
          <w:lang w:val="en-US" w:eastAsia="zh-CN"/>
        </w:rPr>
        <w:t>未按规定备案的情况，便对</w:t>
      </w:r>
      <w:bookmarkStart w:id="0" w:name="_GoBack"/>
      <w:bookmarkEnd w:id="0"/>
      <w:r>
        <w:rPr>
          <w:rFonts w:hint="eastAsia" w:ascii="仿宋" w:hAnsi="仿宋" w:eastAsia="仿宋"/>
          <w:color w:val="auto"/>
          <w:sz w:val="32"/>
          <w:szCs w:val="32"/>
          <w:lang w:val="en-US" w:eastAsia="zh-CN"/>
        </w:rPr>
        <w:t>福州双福卓翔娱乐有限公司的备案情况进行了调档检查。检查发现，档案中福州双福卓翔娱乐有限公司的备案时间为2021年3月17日，其《奖品目录备案回执》中明确注释“若后续奖品种类发生动态调整，需及时到我局变更备案。”</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至2024年4月17日，福州双福卓翔娱乐有限公司仍未向我局申请变更备案，执法人员决定再次前往该场所进行现场勘验。</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2024年4月17日下午15时50分，</w:t>
      </w:r>
      <w:r>
        <w:rPr>
          <w:rFonts w:hint="eastAsia" w:ascii="仿宋_GB2312" w:hAnsi="宋体" w:eastAsia="仿宋_GB2312"/>
          <w:color w:val="auto"/>
          <w:sz w:val="32"/>
          <w:szCs w:val="32"/>
          <w:lang w:val="en-US" w:eastAsia="zh-CN"/>
        </w:rPr>
        <w:t>台江区文化体育和旅游局的两名执法人员林X</w:t>
      </w:r>
      <w:r>
        <w:rPr>
          <w:rFonts w:hint="eastAsia" w:ascii="仿宋" w:hAnsi="仿宋" w:eastAsia="仿宋"/>
          <w:color w:val="auto"/>
          <w:sz w:val="32"/>
          <w:szCs w:val="32"/>
        </w:rPr>
        <w:t>(13010221003)</w:t>
      </w:r>
      <w:r>
        <w:rPr>
          <w:rFonts w:hint="eastAsia" w:ascii="仿宋_GB2312" w:hAnsi="宋体" w:eastAsia="仿宋_GB2312"/>
          <w:color w:val="auto"/>
          <w:sz w:val="32"/>
          <w:szCs w:val="32"/>
          <w:lang w:val="en-US" w:eastAsia="zh-CN"/>
        </w:rPr>
        <w:t>、石XX</w:t>
      </w:r>
      <w:r>
        <w:rPr>
          <w:rFonts w:hint="eastAsia" w:ascii="仿宋" w:hAnsi="仿宋" w:eastAsia="仿宋"/>
          <w:color w:val="auto"/>
          <w:sz w:val="32"/>
          <w:szCs w:val="32"/>
        </w:rPr>
        <w:t>(1301022100</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至</w:t>
      </w:r>
      <w:r>
        <w:rPr>
          <w:rFonts w:hint="eastAsia" w:ascii="仿宋_GB2312" w:hAnsi="仿宋_GB2312" w:eastAsia="仿宋_GB2312" w:cs="仿宋_GB2312"/>
          <w:color w:val="auto"/>
          <w:sz w:val="32"/>
          <w:szCs w:val="32"/>
          <w:lang w:val="en-US" w:eastAsia="zh-CN"/>
        </w:rPr>
        <w:t>福州市</w:t>
      </w:r>
      <w:r>
        <w:rPr>
          <w:rFonts w:hint="eastAsia" w:ascii="仿宋_GB2312" w:hAnsi="仿宋_GB2312" w:eastAsia="仿宋_GB2312" w:cs="仿宋_GB2312"/>
          <w:color w:val="auto"/>
          <w:sz w:val="32"/>
          <w:szCs w:val="32"/>
        </w:rPr>
        <w:t>台江区</w:t>
      </w:r>
      <w:r>
        <w:rPr>
          <w:rFonts w:hint="eastAsia" w:ascii="仿宋_GB2312" w:hAnsi="仿宋_GB2312" w:eastAsia="仿宋_GB2312" w:cs="仿宋_GB2312"/>
          <w:color w:val="auto"/>
          <w:sz w:val="32"/>
          <w:szCs w:val="32"/>
          <w:lang w:val="en-US" w:eastAsia="zh-CN"/>
        </w:rPr>
        <w:t>XXX街XXX二楼</w:t>
      </w:r>
      <w:r>
        <w:rPr>
          <w:rFonts w:hint="eastAsia" w:ascii="仿宋" w:hAnsi="仿宋" w:eastAsia="仿宋"/>
          <w:color w:val="auto"/>
          <w:sz w:val="32"/>
          <w:szCs w:val="32"/>
          <w:lang w:val="en-US" w:eastAsia="zh-CN"/>
        </w:rPr>
        <w:t>福州双福卓翔娱乐有限公司的“大玩家”向现场负责人张XX店长出示执法证件说明目的后进行检查，现场正在营业中。执法人员查看现场证照后，对奖品兑换区的物品进行逐一登记，制作《游艺场所兑换奖品物品清单》1份。询问过程中，张XX表示不知道现场奖品是否已备案。</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执法人员全程拍照、录像取证，并制作《现场检查(勘验)笔录》1份，《游艺场所兑换奖品物品清单》1份，下发《调查询问通知书》1份，张XX店长见证了执法全过程，并在相关文书上签字确认。</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同日执法人员将现场登记的《游艺场所兑换奖品物品清单》与福州双福卓翔娱乐有限公司2021年3月17日《奖品目录备案回执》备案清单进行比对，发现原备案清单有奖品221件，现场登记奖品清单有奖品171件，两者奖品名称均不相符，且三年期间(2021年3月至2024年3月)没有来我局进行奖品变更备案。</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
          <w:bCs/>
          <w:color w:val="000000"/>
          <w:kern w:val="0"/>
          <w:sz w:val="32"/>
          <w:szCs w:val="32"/>
          <w:u w:val="none"/>
          <w:lang w:val="en-US" w:eastAsia="zh-CN"/>
        </w:rPr>
      </w:pPr>
      <w:r>
        <w:rPr>
          <w:rFonts w:hint="eastAsia" w:ascii="仿宋" w:hAnsi="仿宋" w:eastAsia="仿宋" w:cs="仿宋"/>
          <w:bCs/>
          <w:color w:val="000000"/>
          <w:kern w:val="0"/>
          <w:sz w:val="32"/>
          <w:szCs w:val="32"/>
          <w:u w:val="none"/>
          <w:lang w:val="en-US" w:eastAsia="zh-CN"/>
        </w:rPr>
        <w:t>2024年4月18日，本案经批准后以一般程序立案。</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s="仿宋"/>
          <w:bCs/>
          <w:color w:val="000000"/>
          <w:kern w:val="0"/>
          <w:sz w:val="32"/>
          <w:szCs w:val="32"/>
          <w:u w:val="none"/>
          <w:lang w:val="en-US" w:eastAsia="zh-CN"/>
        </w:rPr>
        <w:t>2024年4月22日，福州双福卓翔娱乐有限公司</w:t>
      </w:r>
      <w:r>
        <w:rPr>
          <w:rFonts w:hint="eastAsia" w:ascii="仿宋" w:hAnsi="仿宋" w:eastAsia="仿宋"/>
          <w:color w:val="auto"/>
          <w:sz w:val="32"/>
          <w:szCs w:val="32"/>
          <w:lang w:val="en-US" w:eastAsia="zh-CN"/>
        </w:rPr>
        <w:t>张XX按照《调查询问通知书》的要求前来我局接受调查询问，供述了</w:t>
      </w:r>
      <w:r>
        <w:rPr>
          <w:rFonts w:hint="eastAsia" w:ascii="仿宋" w:hAnsi="仿宋" w:eastAsia="仿宋" w:cs="仿宋"/>
          <w:bCs/>
          <w:color w:val="000000"/>
          <w:kern w:val="0"/>
          <w:sz w:val="32"/>
          <w:szCs w:val="32"/>
          <w:u w:val="none"/>
          <w:lang w:val="en-US" w:eastAsia="zh-CN"/>
        </w:rPr>
        <w:t>福州双福卓翔娱乐有限公司进行有奖经营活动，奖品目录未按规定备案的事实。</w:t>
      </w:r>
      <w:r>
        <w:rPr>
          <w:rFonts w:hint="eastAsia" w:ascii="仿宋" w:hAnsi="仿宋" w:eastAsia="仿宋"/>
          <w:color w:val="auto"/>
          <w:sz w:val="32"/>
          <w:szCs w:val="32"/>
          <w:lang w:val="en-US" w:eastAsia="zh-CN"/>
        </w:rPr>
        <w:t>张XX在《调查询问笔录》和相关证据材料上签字确认。</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
          <w:bCs/>
          <w:color w:val="000000"/>
          <w:kern w:val="0"/>
          <w:sz w:val="32"/>
          <w:szCs w:val="32"/>
          <w:u w:val="none"/>
          <w:lang w:val="en-US" w:eastAsia="zh-CN"/>
        </w:rPr>
        <w:t>经依法调查，查明相关事实如下：台江区文化体育和旅游局执法人员林X、石XX于2024年4月17日下午15时50分对福州双福卓翔娱乐有限公司日常检查时发现，福州双福卓翔娱乐有限公司</w:t>
      </w:r>
      <w:r>
        <w:rPr>
          <w:rFonts w:hint="eastAsia" w:ascii="仿宋" w:hAnsi="仿宋" w:eastAsia="仿宋" w:cs="仿宋_GB2312"/>
          <w:bCs/>
          <w:color w:val="000000"/>
          <w:kern w:val="0"/>
          <w:sz w:val="32"/>
          <w:szCs w:val="32"/>
          <w:u w:val="none"/>
          <w:lang w:val="en-US" w:eastAsia="zh-CN"/>
        </w:rPr>
        <w:t>进行有奖经营活动，奖品目录未按规定备案的违法行为，已构成要件，违法行为成立</w:t>
      </w:r>
      <w:r>
        <w:rPr>
          <w:rFonts w:hint="eastAsia" w:ascii="仿宋" w:hAnsi="仿宋" w:eastAsia="仿宋"/>
          <w:color w:val="auto"/>
          <w:sz w:val="32"/>
          <w:szCs w:val="32"/>
          <w:lang w:val="en-US" w:eastAsia="zh-CN"/>
        </w:rPr>
        <w:t>。违反《娱乐场所管理办法》第二十一条第二项之规定。</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执法人员通过现场检查、调查询问、摄像拍照等取证方式，收集和调取了如下证据：</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1、执法人员制作的《现场检查(勘验)笔录》(2份)、《现场检查(勘验)照片》(2份共15张)记录现场检查情况，证明现场检查依法执行。</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jc w:val="left"/>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2、执法人员制作的《调查询问通知书》和《调查询问笔录》各3份，证明执法人员调查和取证过程。</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jc w:val="left"/>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3、福州双福卓翔娱乐有限公司提供的《送(销)货单》(即兑换物品进货凭证)1份，证明执法人员现场检查时登记的《游艺场所兑换奖品物品清单》上的奖品确为福州双福卓翔娱乐有限公司在进行有奖经营活动时用于兑换的奖品。</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jc w:val="left"/>
        <w:textAlignment w:val="auto"/>
        <w:rPr>
          <w:rFonts w:hint="default"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4、《游艺场所兑换奖品物品清单》1份（11张），和台江区文化体育和旅游局审批科提供的《奖品目录备案回执》(含附件奖品目录)1份，证明执法人员现场检查时，福州双福卓翔娱乐有限公司现场摆放的奖品与已备案奖品不相符。</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5、福州双福卓翔娱乐有限公司《营业执照》副本和《娱乐场所经营许可证》复印件各1份，证明福州双福卓翔娱乐有限公司主体资格。</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default"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6、福州双福卓翔娱乐有限公司法定代表人郭XX、人事主管</w:t>
      </w:r>
      <w:r>
        <w:rPr>
          <w:rFonts w:hint="eastAsia" w:ascii="仿宋" w:hAnsi="仿宋" w:eastAsia="仿宋"/>
          <w:color w:val="auto"/>
          <w:sz w:val="32"/>
          <w:szCs w:val="32"/>
          <w:lang w:val="en-US" w:eastAsia="zh-CN"/>
        </w:rPr>
        <w:t>阮XX、</w:t>
      </w:r>
      <w:r>
        <w:rPr>
          <w:rFonts w:hint="eastAsia" w:ascii="仿宋" w:hAnsi="仿宋" w:eastAsia="仿宋" w:cs="仿宋_GB2312"/>
          <w:bCs/>
          <w:color w:val="000000"/>
          <w:kern w:val="0"/>
          <w:sz w:val="32"/>
          <w:szCs w:val="32"/>
          <w:u w:val="none"/>
          <w:lang w:val="en-US" w:eastAsia="zh-CN"/>
        </w:rPr>
        <w:t>店长张XX的身份证复印件各1份，证明各自的身份。</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default"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7、福州双福卓翔娱乐有限公司出具的《委托书》2份，证明福州双福卓翔娱乐有限公司法定代表人郭XX委托</w:t>
      </w:r>
      <w:r>
        <w:rPr>
          <w:rFonts w:hint="eastAsia" w:ascii="仿宋" w:hAnsi="仿宋" w:eastAsia="仿宋"/>
          <w:color w:val="auto"/>
          <w:sz w:val="32"/>
          <w:szCs w:val="32"/>
          <w:lang w:val="en-US" w:eastAsia="zh-CN"/>
        </w:rPr>
        <w:t>阮XX和</w:t>
      </w:r>
      <w:r>
        <w:rPr>
          <w:rFonts w:hint="eastAsia" w:ascii="仿宋" w:hAnsi="仿宋" w:eastAsia="仿宋" w:cs="仿宋_GB2312"/>
          <w:bCs/>
          <w:color w:val="000000"/>
          <w:kern w:val="0"/>
          <w:sz w:val="32"/>
          <w:szCs w:val="32"/>
          <w:u w:val="none"/>
          <w:lang w:val="en-US" w:eastAsia="zh-CN"/>
        </w:rPr>
        <w:t>店长张XX分别处理本案相关事宜。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上述证据相互印证，形成完整的证据链，足以证明当事人福州双福卓翔娱乐有限公司进行有奖经营活动，奖品目录未按规定备案的事实。</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仿宋" w:hAnsi="仿宋" w:eastAsia="仿宋" w:cs="宋体"/>
          <w:color w:val="000000"/>
          <w:sz w:val="32"/>
          <w:szCs w:val="32"/>
          <w:lang w:val="en-US"/>
        </w:rPr>
      </w:pPr>
      <w:r>
        <w:rPr>
          <w:rFonts w:hint="eastAsia" w:ascii="仿宋" w:hAnsi="仿宋" w:eastAsia="仿宋" w:cs="仿宋_GB2312"/>
          <w:bCs/>
          <w:color w:val="000000"/>
          <w:kern w:val="0"/>
          <w:sz w:val="32"/>
          <w:szCs w:val="32"/>
          <w:u w:val="none"/>
          <w:lang w:val="en-US" w:eastAsia="zh-CN"/>
        </w:rPr>
        <w:t>鉴于当事人</w:t>
      </w:r>
      <w:r>
        <w:rPr>
          <w:rFonts w:hint="eastAsia" w:ascii="仿宋" w:hAnsi="仿宋" w:eastAsia="仿宋"/>
          <w:color w:val="auto"/>
          <w:sz w:val="32"/>
          <w:szCs w:val="32"/>
          <w:lang w:val="en-US" w:eastAsia="zh-CN"/>
        </w:rPr>
        <w:t>福州双福卓翔娱乐有限公司</w:t>
      </w:r>
      <w:r>
        <w:rPr>
          <w:rFonts w:hint="eastAsia" w:ascii="仿宋" w:hAnsi="仿宋" w:eastAsia="仿宋" w:cs="仿宋"/>
          <w:bCs/>
          <w:color w:val="000000"/>
          <w:kern w:val="0"/>
          <w:sz w:val="32"/>
          <w:szCs w:val="32"/>
          <w:u w:val="none"/>
          <w:lang w:val="en-US" w:eastAsia="zh-CN"/>
        </w:rPr>
        <w:t>进行有奖经营活动，奖品目录未按规定备案</w:t>
      </w:r>
      <w:r>
        <w:rPr>
          <w:rFonts w:hint="eastAsia" w:ascii="仿宋" w:hAnsi="仿宋" w:eastAsia="仿宋" w:cs="仿宋_GB2312"/>
          <w:bCs/>
          <w:color w:val="000000"/>
          <w:kern w:val="0"/>
          <w:sz w:val="32"/>
          <w:szCs w:val="32"/>
          <w:u w:val="none"/>
          <w:lang w:val="en-US" w:eastAsia="zh-CN"/>
        </w:rPr>
        <w:t>的行为，违反了</w:t>
      </w:r>
      <w:r>
        <w:rPr>
          <w:rFonts w:hint="eastAsia" w:ascii="仿宋" w:hAnsi="仿宋" w:eastAsia="仿宋" w:cs="仿宋_GB2312"/>
          <w:bCs/>
          <w:color w:val="000000"/>
          <w:kern w:val="0"/>
          <w:sz w:val="32"/>
          <w:szCs w:val="32"/>
          <w:u w:val="none"/>
          <w:lang w:val="en-US" w:eastAsia="zh-CN" w:bidi="ar-SA"/>
        </w:rPr>
        <w:t>《娱乐场所管理办法》</w:t>
      </w:r>
      <w:r>
        <w:rPr>
          <w:rFonts w:ascii="仿宋" w:hAnsi="仿宋" w:eastAsia="仿宋" w:cs="仿宋_GB2312"/>
          <w:bCs/>
          <w:kern w:val="0"/>
          <w:sz w:val="32"/>
          <w:szCs w:val="32"/>
        </w:rPr>
        <w:t>第二十一条</w:t>
      </w:r>
      <w:r>
        <w:rPr>
          <w:rFonts w:hint="eastAsia" w:ascii="仿宋" w:hAnsi="仿宋" w:eastAsia="仿宋" w:cs="仿宋_GB2312"/>
          <w:bCs/>
          <w:kern w:val="0"/>
          <w:sz w:val="32"/>
          <w:szCs w:val="32"/>
          <w:lang w:val="en-US" w:eastAsia="zh-CN"/>
        </w:rPr>
        <w:t>第二项之规定，</w:t>
      </w:r>
      <w:r>
        <w:rPr>
          <w:rFonts w:hint="eastAsia" w:ascii="仿宋" w:hAnsi="仿宋" w:eastAsia="仿宋" w:cs="仿宋_GB2312"/>
          <w:bCs/>
          <w:color w:val="000000"/>
          <w:kern w:val="0"/>
          <w:sz w:val="32"/>
          <w:szCs w:val="32"/>
          <w:u w:val="none"/>
          <w:lang w:val="en-US" w:eastAsia="zh-CN"/>
        </w:rPr>
        <w:t>依据</w:t>
      </w:r>
      <w:r>
        <w:rPr>
          <w:rFonts w:hint="eastAsia" w:ascii="仿宋" w:hAnsi="仿宋" w:eastAsia="仿宋" w:cs="仿宋_GB2312"/>
          <w:bCs/>
          <w:color w:val="000000"/>
          <w:kern w:val="0"/>
          <w:sz w:val="32"/>
          <w:szCs w:val="32"/>
          <w:u w:val="none"/>
          <w:lang w:val="en-US" w:eastAsia="zh-CN" w:bidi="ar-SA"/>
        </w:rPr>
        <w:t>《娱乐场所管理办法》第三十条和</w:t>
      </w:r>
      <w:r>
        <w:rPr>
          <w:rFonts w:hint="eastAsia" w:ascii="仿宋" w:hAnsi="仿宋" w:eastAsia="仿宋" w:cs="仿宋_GB2312"/>
          <w:bCs/>
          <w:color w:val="000000"/>
          <w:kern w:val="0"/>
          <w:sz w:val="32"/>
          <w:szCs w:val="32"/>
          <w:u w:val="none"/>
          <w:lang w:val="en-US" w:eastAsia="zh-CN"/>
        </w:rPr>
        <w:t>《福州市文化和旅游行政处罚裁量标准》(FZ01WH-CF-0017)的规定，</w:t>
      </w:r>
      <w:r>
        <w:rPr>
          <w:rFonts w:hint="eastAsia" w:ascii="仿宋" w:hAnsi="仿宋" w:eastAsia="仿宋"/>
          <w:color w:val="auto"/>
          <w:sz w:val="32"/>
          <w:szCs w:val="32"/>
          <w:lang w:val="en-US" w:eastAsia="zh-CN"/>
        </w:rPr>
        <w:t>福州双福卓翔娱乐有限公司的违法行为</w:t>
      </w:r>
      <w:r>
        <w:rPr>
          <w:rFonts w:hint="eastAsia" w:ascii="仿宋" w:hAnsi="仿宋" w:eastAsia="仿宋" w:cs="仿宋_GB2312"/>
          <w:bCs/>
          <w:kern w:val="0"/>
          <w:sz w:val="32"/>
          <w:szCs w:val="32"/>
          <w:lang w:val="en-US" w:eastAsia="zh-CN"/>
        </w:rPr>
        <w:t>属于初次查获</w:t>
      </w:r>
      <w:r>
        <w:rPr>
          <w:rFonts w:hint="eastAsia" w:ascii="仿宋" w:hAnsi="仿宋" w:eastAsia="仿宋" w:cs="仿宋_GB2312"/>
          <w:bCs/>
          <w:color w:val="auto"/>
          <w:kern w:val="0"/>
          <w:sz w:val="32"/>
          <w:szCs w:val="32"/>
          <w:u w:val="none"/>
          <w:lang w:val="en-US" w:eastAsia="zh-CN"/>
        </w:rPr>
        <w:t>，</w:t>
      </w:r>
      <w:r>
        <w:rPr>
          <w:rFonts w:hint="eastAsia" w:ascii="仿宋" w:hAnsi="仿宋" w:eastAsia="仿宋" w:cs="仿宋_GB2312"/>
          <w:bCs/>
          <w:color w:val="000000"/>
          <w:kern w:val="0"/>
          <w:sz w:val="32"/>
          <w:szCs w:val="32"/>
          <w:u w:val="none"/>
          <w:lang w:val="en-US" w:eastAsia="zh-CN"/>
        </w:rPr>
        <w:t>违法程度一般，现我局对</w:t>
      </w:r>
      <w:r>
        <w:rPr>
          <w:rFonts w:hint="eastAsia" w:ascii="仿宋" w:hAnsi="仿宋" w:eastAsia="仿宋"/>
          <w:color w:val="auto"/>
          <w:sz w:val="32"/>
          <w:szCs w:val="32"/>
          <w:lang w:val="en-US" w:eastAsia="zh-CN"/>
        </w:rPr>
        <w:t>福州双福卓翔娱乐有限公司作出如下行政处罚决定：</w:t>
      </w:r>
      <w:r>
        <w:rPr>
          <w:rFonts w:hint="eastAsia" w:ascii="仿宋" w:hAnsi="仿宋" w:eastAsia="仿宋" w:cs="仿宋_GB2312"/>
          <w:bCs/>
          <w:color w:val="000000"/>
          <w:kern w:val="0"/>
          <w:sz w:val="32"/>
          <w:szCs w:val="32"/>
          <w:u w:val="none"/>
          <w:lang w:val="en-US" w:eastAsia="zh-CN"/>
        </w:rPr>
        <w:t>责令改正，并处伍仟元(5000元)罚款</w:t>
      </w:r>
      <w:r>
        <w:rPr>
          <w:rFonts w:hint="eastAsia" w:ascii="仿宋" w:hAnsi="仿宋" w:eastAsia="仿宋" w:cs="仿宋_GB2312"/>
          <w:bCs/>
          <w:color w:val="auto"/>
          <w:kern w:val="0"/>
          <w:sz w:val="32"/>
          <w:szCs w:val="32"/>
          <w:u w:val="none"/>
          <w:lang w:val="en-US" w:eastAsia="zh-CN"/>
        </w:rPr>
        <w:t>。</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640" w:firstLineChars="200"/>
        <w:rPr>
          <w:rFonts w:hint="eastAsia" w:ascii="仿宋" w:hAnsi="仿宋" w:eastAsia="仿宋" w:cs="宋体"/>
          <w:color w:val="000000"/>
          <w:sz w:val="32"/>
          <w:szCs w:val="32"/>
          <w:lang w:val="en-US" w:eastAsia="zh-CN"/>
        </w:rPr>
      </w:pPr>
      <w:r>
        <w:rPr>
          <w:rFonts w:hint="eastAsia" w:ascii="仿宋" w:hAnsi="仿宋" w:eastAsia="仿宋" w:cs="仿宋_GB2312"/>
          <w:bCs/>
          <w:color w:val="000000"/>
          <w:kern w:val="0"/>
          <w:sz w:val="32"/>
          <w:szCs w:val="32"/>
          <w:u w:val="none"/>
          <w:lang w:val="en-US" w:eastAsia="zh-CN"/>
        </w:rPr>
        <w:t>福州双福卓翔娱乐有限公司</w:t>
      </w:r>
      <w:r>
        <w:rPr>
          <w:rFonts w:hint="eastAsia" w:ascii="仿宋" w:hAnsi="仿宋" w:eastAsia="仿宋" w:cs="宋体"/>
          <w:color w:val="000000"/>
          <w:sz w:val="32"/>
          <w:szCs w:val="32"/>
          <w:lang w:val="en-US" w:eastAsia="zh-CN"/>
        </w:rPr>
        <w:t>应当自收到本决定书之日起十五日内，</w:t>
      </w:r>
      <w:r>
        <w:rPr>
          <w:rFonts w:hint="eastAsia" w:ascii="仿宋" w:hAnsi="仿宋" w:eastAsia="仿宋" w:cs="仿宋_GB2312"/>
          <w:bCs/>
          <w:kern w:val="0"/>
          <w:sz w:val="32"/>
          <w:szCs w:val="32"/>
          <w:lang w:val="en-US" w:eastAsia="zh-CN"/>
        </w:rPr>
        <w:t>通过我机关开具的</w:t>
      </w:r>
      <w:r>
        <w:rPr>
          <w:rFonts w:hint="eastAsia" w:ascii="仿宋" w:hAnsi="仿宋" w:eastAsia="仿宋" w:cs="仿宋_GB2312"/>
          <w:b/>
          <w:bCs w:val="0"/>
          <w:kern w:val="0"/>
          <w:sz w:val="32"/>
          <w:szCs w:val="32"/>
          <w:u w:val="single"/>
          <w:lang w:val="en-US" w:eastAsia="zh-CN"/>
        </w:rPr>
        <w:t>电子缴款书指定的缴款渠道</w:t>
      </w:r>
      <w:r>
        <w:rPr>
          <w:rFonts w:hint="eastAsia" w:ascii="仿宋" w:hAnsi="仿宋" w:eastAsia="仿宋" w:cs="仿宋_GB2312"/>
          <w:bCs/>
          <w:kern w:val="0"/>
          <w:sz w:val="32"/>
          <w:szCs w:val="32"/>
          <w:lang w:val="en-US" w:eastAsia="zh-CN"/>
        </w:rPr>
        <w:t>缴纳罚款。</w:t>
      </w:r>
      <w:r>
        <w:rPr>
          <w:rFonts w:hint="eastAsia" w:ascii="仿宋" w:hAnsi="仿宋" w:eastAsia="仿宋" w:cs="宋体"/>
          <w:color w:val="000000"/>
          <w:sz w:val="32"/>
          <w:szCs w:val="32"/>
          <w:lang w:val="zh-CN" w:eastAsia="zh-CN"/>
        </w:rPr>
        <w:t>逾期不缴纳罚款的，依据《中华人民共和国行政处罚法》第七十二条第一款第(一)项的规定，本机关可每日按罚款数额的百分之三加处罚款，并</w:t>
      </w:r>
      <w:r>
        <w:rPr>
          <w:rFonts w:hint="eastAsia" w:ascii="仿宋" w:hAnsi="仿宋" w:eastAsia="仿宋" w:cs="宋体"/>
          <w:color w:val="000000"/>
          <w:sz w:val="32"/>
          <w:szCs w:val="32"/>
          <w:lang w:val="en-US" w:eastAsia="zh-CN"/>
        </w:rPr>
        <w:t>依据《中华人民共和国行政强制法》第四十六条的规定</w:t>
      </w:r>
      <w:r>
        <w:rPr>
          <w:rFonts w:hint="eastAsia" w:ascii="仿宋" w:hAnsi="仿宋" w:eastAsia="仿宋" w:cs="宋体"/>
          <w:color w:val="000000"/>
          <w:sz w:val="32"/>
          <w:szCs w:val="32"/>
          <w:lang w:val="zh-CN" w:eastAsia="zh-CN"/>
        </w:rPr>
        <w:t>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bCs/>
          <w:sz w:val="32"/>
          <w:szCs w:val="32"/>
          <w:u w:val="single"/>
        </w:rPr>
      </w:pPr>
      <w:r>
        <w:rPr>
          <w:rFonts w:hint="eastAsia" w:ascii="仿宋" w:hAnsi="仿宋" w:eastAsia="仿宋" w:cs="仿宋_GB2312"/>
          <w:bCs/>
          <w:color w:val="000000"/>
          <w:kern w:val="0"/>
          <w:sz w:val="32"/>
          <w:szCs w:val="32"/>
          <w:u w:val="none"/>
          <w:lang w:val="en-US" w:eastAsia="zh-CN"/>
        </w:rPr>
        <w:t>福州双福卓翔娱乐有限公司</w:t>
      </w:r>
      <w:r>
        <w:rPr>
          <w:rFonts w:hint="eastAsia" w:ascii="仿宋" w:hAnsi="仿宋" w:eastAsia="仿宋" w:cs="仿宋"/>
          <w:sz w:val="32"/>
          <w:szCs w:val="32"/>
        </w:rPr>
        <w:t>如对本处罚决定不服，可在收到本决定书之日起六十日内</w:t>
      </w:r>
      <w:r>
        <w:rPr>
          <w:rFonts w:hint="eastAsia" w:ascii="仿宋" w:hAnsi="仿宋" w:eastAsia="仿宋" w:cs="仿宋"/>
          <w:b w:val="0"/>
          <w:bCs/>
          <w:sz w:val="32"/>
          <w:szCs w:val="32"/>
          <w:u w:val="none"/>
        </w:rPr>
        <w:t>向</w:t>
      </w:r>
      <w:r>
        <w:rPr>
          <w:rFonts w:hint="eastAsia" w:ascii="仿宋" w:hAnsi="仿宋" w:eastAsia="仿宋" w:cs="仿宋"/>
          <w:b/>
          <w:bCs w:val="0"/>
          <w:sz w:val="32"/>
          <w:szCs w:val="32"/>
          <w:u w:val="single"/>
          <w:lang w:val="en-US" w:eastAsia="zh-CN"/>
        </w:rPr>
        <w:t>福州市</w:t>
      </w:r>
      <w:r>
        <w:rPr>
          <w:rFonts w:hint="eastAsia" w:ascii="仿宋" w:hAnsi="仿宋" w:eastAsia="仿宋" w:cs="仿宋"/>
          <w:b/>
          <w:bCs w:val="0"/>
          <w:sz w:val="32"/>
          <w:szCs w:val="32"/>
          <w:u w:val="single"/>
        </w:rPr>
        <w:t>台江</w:t>
      </w:r>
      <w:r>
        <w:rPr>
          <w:rFonts w:hint="eastAsia" w:ascii="仿宋" w:hAnsi="仿宋" w:eastAsia="仿宋" w:cs="仿宋"/>
          <w:b/>
          <w:sz w:val="32"/>
          <w:szCs w:val="32"/>
          <w:u w:val="single"/>
        </w:rPr>
        <w:t>区人民政府</w:t>
      </w:r>
      <w:r>
        <w:rPr>
          <w:rFonts w:hint="eastAsia" w:ascii="仿宋" w:hAnsi="仿宋" w:eastAsia="仿宋" w:cs="仿宋"/>
          <w:sz w:val="32"/>
          <w:szCs w:val="32"/>
        </w:rPr>
        <w:t>申请行政复议，也可在收到本决定书之日起六个月内直接向</w:t>
      </w:r>
      <w:r>
        <w:rPr>
          <w:rFonts w:hint="eastAsia" w:ascii="仿宋" w:hAnsi="仿宋" w:eastAsia="仿宋" w:cs="仿宋"/>
          <w:b/>
          <w:bCs/>
          <w:sz w:val="32"/>
          <w:szCs w:val="32"/>
          <w:u w:val="single"/>
        </w:rPr>
        <w:t>福州市晋安区</w:t>
      </w:r>
      <w:r>
        <w:rPr>
          <w:rFonts w:hint="eastAsia" w:ascii="仿宋" w:hAnsi="仿宋" w:eastAsia="仿宋" w:cs="仿宋"/>
          <w:sz w:val="32"/>
          <w:szCs w:val="32"/>
        </w:rPr>
        <w:t>人民法院提起行政诉讼。行政复议或者行政诉讼期间，本处罚决定不停止执行。</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cs="宋体"/>
          <w:color w:val="000000"/>
          <w:sz w:val="32"/>
          <w:szCs w:val="32"/>
        </w:rPr>
      </w:pPr>
      <w:r>
        <w:rPr>
          <w:rFonts w:hint="eastAsia" w:ascii="仿宋" w:hAnsi="仿宋" w:eastAsia="仿宋" w:cs="仿宋"/>
          <w:sz w:val="32"/>
          <w:szCs w:val="32"/>
        </w:rPr>
        <w:t>逾期不申请行政复议或者提起行政诉讼，又不履行本处罚决定，经催告后仍未履行义务的，依据《中华人民共和国行政强制法》第五十四条的规定，本机关可申请人民法院强制执行。</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联系地址：福州市台江区学军路92号1003室</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eastAsia="zh-CN"/>
        </w:rPr>
        <w:t>林X</w:t>
      </w:r>
      <w:r>
        <w:rPr>
          <w:rFonts w:hint="eastAsia" w:ascii="仿宋" w:hAnsi="仿宋" w:eastAsia="仿宋"/>
          <w:sz w:val="32"/>
          <w:szCs w:val="32"/>
        </w:rPr>
        <w:t>、</w:t>
      </w:r>
      <w:r>
        <w:rPr>
          <w:rFonts w:hint="eastAsia" w:ascii="仿宋" w:hAnsi="仿宋" w:eastAsia="仿宋"/>
          <w:sz w:val="32"/>
          <w:szCs w:val="32"/>
          <w:lang w:val="en-US" w:eastAsia="zh-CN"/>
        </w:rPr>
        <w:t>石XX</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联系电话：0591-83251196</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ind w:firstLine="3840" w:firstLineChars="1200"/>
        <w:jc w:val="both"/>
        <w:textAlignment w:val="auto"/>
        <w:rPr>
          <w:rFonts w:ascii="仿宋" w:hAnsi="仿宋" w:eastAsia="仿宋"/>
          <w:sz w:val="32"/>
          <w:szCs w:val="32"/>
        </w:rPr>
      </w:pPr>
      <w:r>
        <w:rPr>
          <w:rFonts w:hint="eastAsia" w:ascii="仿宋" w:hAnsi="仿宋" w:eastAsia="仿宋" w:cs="仿宋"/>
          <w:bCs/>
          <w:color w:val="000000"/>
          <w:sz w:val="32"/>
          <w:szCs w:val="32"/>
          <w:u w:val="none"/>
          <w:lang w:val="en-US" w:eastAsia="zh-CN"/>
        </w:rPr>
        <w:t>福州市台江区文化体育和旅游局</w:t>
      </w:r>
    </w:p>
    <w:p>
      <w:pPr>
        <w:keepNext w:val="0"/>
        <w:keepLines w:val="0"/>
        <w:pageBreakBefore w:val="0"/>
        <w:widowControl w:val="0"/>
        <w:tabs>
          <w:tab w:val="left" w:pos="5670"/>
        </w:tabs>
        <w:kinsoku/>
        <w:wordWrap w:val="0"/>
        <w:overflowPunct/>
        <w:topLinePunct w:val="0"/>
        <w:autoSpaceDE/>
        <w:autoSpaceDN/>
        <w:bidi w:val="0"/>
        <w:adjustRightInd/>
        <w:snapToGrid/>
        <w:ind w:right="640" w:firstLine="640" w:firstLineChars="200"/>
        <w:textAlignment w:val="auto"/>
        <w:rPr>
          <w:rFonts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w:t>
      </w:r>
    </w:p>
    <w:sectPr>
      <w:footerReference r:id="rId3" w:type="default"/>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67197"/>
    </w:sdtPr>
    <w:sdtEndPr>
      <w:rPr>
        <w:rFonts w:ascii="仿宋" w:hAnsi="仿宋" w:eastAsia="仿宋"/>
        <w:sz w:val="21"/>
        <w:szCs w:val="21"/>
      </w:rPr>
    </w:sdtEndPr>
    <w:sdtContent>
      <w:sdt>
        <w:sdtPr>
          <w:rPr>
            <w:rFonts w:ascii="仿宋" w:hAnsi="仿宋" w:eastAsia="仿宋"/>
            <w:sz w:val="21"/>
            <w:szCs w:val="21"/>
          </w:rPr>
          <w:id w:val="171357217"/>
        </w:sdtPr>
        <w:sdtEndPr>
          <w:rPr>
            <w:rFonts w:ascii="仿宋" w:hAnsi="仿宋" w:eastAsia="仿宋"/>
            <w:sz w:val="21"/>
            <w:szCs w:val="21"/>
          </w:rPr>
        </w:sdtEndPr>
        <w:sdtContent>
          <w:p>
            <w:pPr>
              <w:pStyle w:val="2"/>
              <w:jc w:val="center"/>
              <w:rPr>
                <w:rFonts w:ascii="仿宋" w:hAnsi="仿宋" w:eastAsia="仿宋"/>
                <w:sz w:val="21"/>
                <w:szCs w:val="21"/>
              </w:rPr>
            </w:pPr>
            <w:r>
              <w:rPr>
                <w:rFonts w:hint="eastAsia" w:ascii="仿宋" w:hAnsi="仿宋" w:eastAsia="仿宋"/>
                <w:sz w:val="21"/>
                <w:szCs w:val="21"/>
              </w:rPr>
              <w:t>第</w:t>
            </w:r>
            <w:r>
              <w:rPr>
                <w:rFonts w:ascii="仿宋" w:hAnsi="仿宋" w:eastAsia="仿宋"/>
                <w:sz w:val="21"/>
                <w:szCs w:val="21"/>
                <w:lang w:val="zh-CN"/>
              </w:rPr>
              <w:t xml:space="preserve"> </w:t>
            </w:r>
            <w:r>
              <w:rPr>
                <w:rFonts w:ascii="仿宋" w:hAnsi="仿宋" w:eastAsia="仿宋"/>
                <w:b/>
                <w:sz w:val="21"/>
                <w:szCs w:val="21"/>
              </w:rPr>
              <w:fldChar w:fldCharType="begin"/>
            </w:r>
            <w:r>
              <w:rPr>
                <w:rFonts w:ascii="仿宋" w:hAnsi="仿宋" w:eastAsia="仿宋"/>
                <w:b/>
                <w:sz w:val="21"/>
                <w:szCs w:val="21"/>
              </w:rPr>
              <w:instrText xml:space="preserve">PAGE</w:instrText>
            </w:r>
            <w:r>
              <w:rPr>
                <w:rFonts w:ascii="仿宋" w:hAnsi="仿宋" w:eastAsia="仿宋"/>
                <w:b/>
                <w:sz w:val="21"/>
                <w:szCs w:val="21"/>
              </w:rPr>
              <w:fldChar w:fldCharType="separate"/>
            </w:r>
            <w:r>
              <w:rPr>
                <w:rFonts w:ascii="仿宋" w:hAnsi="仿宋" w:eastAsia="仿宋"/>
                <w:b/>
                <w:sz w:val="21"/>
                <w:szCs w:val="21"/>
              </w:rPr>
              <w:t>1</w:t>
            </w:r>
            <w:r>
              <w:rPr>
                <w:rFonts w:ascii="仿宋" w:hAnsi="仿宋" w:eastAsia="仿宋"/>
                <w:b/>
                <w:sz w:val="21"/>
                <w:szCs w:val="21"/>
              </w:rPr>
              <w:fldChar w:fldCharType="end"/>
            </w:r>
            <w:r>
              <w:rPr>
                <w:rFonts w:hint="eastAsia" w:ascii="仿宋" w:hAnsi="仿宋" w:eastAsia="仿宋"/>
                <w:b/>
                <w:sz w:val="21"/>
                <w:szCs w:val="21"/>
              </w:rPr>
              <w:t>页</w:t>
            </w:r>
            <w:r>
              <w:rPr>
                <w:rFonts w:hint="eastAsia" w:ascii="仿宋" w:hAnsi="仿宋" w:eastAsia="仿宋"/>
                <w:sz w:val="21"/>
                <w:szCs w:val="21"/>
                <w:lang w:val="zh-CN"/>
              </w:rPr>
              <w:t xml:space="preserve"> 共</w:t>
            </w:r>
            <w:r>
              <w:rPr>
                <w:rFonts w:ascii="仿宋" w:hAnsi="仿宋" w:eastAsia="仿宋"/>
                <w:b/>
                <w:sz w:val="21"/>
                <w:szCs w:val="21"/>
              </w:rPr>
              <w:fldChar w:fldCharType="begin"/>
            </w:r>
            <w:r>
              <w:rPr>
                <w:rFonts w:ascii="仿宋" w:hAnsi="仿宋" w:eastAsia="仿宋"/>
                <w:b/>
                <w:sz w:val="21"/>
                <w:szCs w:val="21"/>
              </w:rPr>
              <w:instrText xml:space="preserve">NUMPAGES</w:instrText>
            </w:r>
            <w:r>
              <w:rPr>
                <w:rFonts w:ascii="仿宋" w:hAnsi="仿宋" w:eastAsia="仿宋"/>
                <w:b/>
                <w:sz w:val="21"/>
                <w:szCs w:val="21"/>
              </w:rPr>
              <w:fldChar w:fldCharType="separate"/>
            </w:r>
            <w:r>
              <w:rPr>
                <w:rFonts w:ascii="仿宋" w:hAnsi="仿宋" w:eastAsia="仿宋"/>
                <w:b/>
                <w:sz w:val="21"/>
                <w:szCs w:val="21"/>
              </w:rPr>
              <w:t>5</w:t>
            </w:r>
            <w:r>
              <w:rPr>
                <w:rFonts w:ascii="仿宋" w:hAnsi="仿宋" w:eastAsia="仿宋"/>
                <w:b/>
                <w:sz w:val="21"/>
                <w:szCs w:val="21"/>
              </w:rPr>
              <w:fldChar w:fldCharType="end"/>
            </w:r>
            <w:r>
              <w:rPr>
                <w:rFonts w:hint="eastAsia" w:ascii="仿宋" w:hAnsi="仿宋" w:eastAsia="仿宋"/>
                <w:b/>
                <w:sz w:val="21"/>
                <w:szCs w:val="21"/>
              </w:rPr>
              <w:t>页</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RlOTJhZGJiYjYzMjQyNjI5M2M3NjhiNTExMDNiNmQifQ=="/>
  </w:docVars>
  <w:rsids>
    <w:rsidRoot w:val="00E8642D"/>
    <w:rsid w:val="00004B1E"/>
    <w:rsid w:val="0002306E"/>
    <w:rsid w:val="000337EB"/>
    <w:rsid w:val="000E4DCC"/>
    <w:rsid w:val="0010509E"/>
    <w:rsid w:val="00127160"/>
    <w:rsid w:val="00127711"/>
    <w:rsid w:val="00137229"/>
    <w:rsid w:val="00162AAF"/>
    <w:rsid w:val="001867B1"/>
    <w:rsid w:val="00204B74"/>
    <w:rsid w:val="00211A2D"/>
    <w:rsid w:val="00220A6A"/>
    <w:rsid w:val="002256B8"/>
    <w:rsid w:val="00284D43"/>
    <w:rsid w:val="00312945"/>
    <w:rsid w:val="00316599"/>
    <w:rsid w:val="00327505"/>
    <w:rsid w:val="00343855"/>
    <w:rsid w:val="003855CA"/>
    <w:rsid w:val="003B6BE5"/>
    <w:rsid w:val="00404482"/>
    <w:rsid w:val="00404C5E"/>
    <w:rsid w:val="0049455B"/>
    <w:rsid w:val="004C0B60"/>
    <w:rsid w:val="004C3E17"/>
    <w:rsid w:val="004C4E3D"/>
    <w:rsid w:val="004E31EB"/>
    <w:rsid w:val="00562B58"/>
    <w:rsid w:val="005B0B73"/>
    <w:rsid w:val="005F47EC"/>
    <w:rsid w:val="00716527"/>
    <w:rsid w:val="007321A5"/>
    <w:rsid w:val="00782CE0"/>
    <w:rsid w:val="007A1D2E"/>
    <w:rsid w:val="007B1282"/>
    <w:rsid w:val="00912C3B"/>
    <w:rsid w:val="00937D2D"/>
    <w:rsid w:val="009813CC"/>
    <w:rsid w:val="009A561D"/>
    <w:rsid w:val="009A67FB"/>
    <w:rsid w:val="009F31F4"/>
    <w:rsid w:val="009F4017"/>
    <w:rsid w:val="00A016D5"/>
    <w:rsid w:val="00A20328"/>
    <w:rsid w:val="00A26609"/>
    <w:rsid w:val="00B71A20"/>
    <w:rsid w:val="00B84AA5"/>
    <w:rsid w:val="00B90615"/>
    <w:rsid w:val="00BC37A1"/>
    <w:rsid w:val="00BD134D"/>
    <w:rsid w:val="00BD31FD"/>
    <w:rsid w:val="00C7219E"/>
    <w:rsid w:val="00D00B68"/>
    <w:rsid w:val="00D2481B"/>
    <w:rsid w:val="00D35E31"/>
    <w:rsid w:val="00D47ABB"/>
    <w:rsid w:val="00DD3D1E"/>
    <w:rsid w:val="00E44E2F"/>
    <w:rsid w:val="00E8642D"/>
    <w:rsid w:val="00E9443E"/>
    <w:rsid w:val="00EA206D"/>
    <w:rsid w:val="00EC462C"/>
    <w:rsid w:val="00EC75F3"/>
    <w:rsid w:val="00ED0A9F"/>
    <w:rsid w:val="00F02B8F"/>
    <w:rsid w:val="00F367FD"/>
    <w:rsid w:val="00FB0936"/>
    <w:rsid w:val="063A3AE4"/>
    <w:rsid w:val="068D6D71"/>
    <w:rsid w:val="06946352"/>
    <w:rsid w:val="06F94D8B"/>
    <w:rsid w:val="0B5D337D"/>
    <w:rsid w:val="0BBA77F2"/>
    <w:rsid w:val="0C5A0D2E"/>
    <w:rsid w:val="102C27B1"/>
    <w:rsid w:val="12B03EC7"/>
    <w:rsid w:val="1E7810F0"/>
    <w:rsid w:val="20512A4D"/>
    <w:rsid w:val="249C7A46"/>
    <w:rsid w:val="2673110B"/>
    <w:rsid w:val="26AB0B32"/>
    <w:rsid w:val="275952D8"/>
    <w:rsid w:val="28440441"/>
    <w:rsid w:val="2A1F34A6"/>
    <w:rsid w:val="2A965131"/>
    <w:rsid w:val="2B2F0FB9"/>
    <w:rsid w:val="2BFA7F82"/>
    <w:rsid w:val="30CA2141"/>
    <w:rsid w:val="30D44329"/>
    <w:rsid w:val="355E1ABD"/>
    <w:rsid w:val="35B67F4D"/>
    <w:rsid w:val="3F625383"/>
    <w:rsid w:val="41AC056E"/>
    <w:rsid w:val="45EF5DF1"/>
    <w:rsid w:val="47B66CC2"/>
    <w:rsid w:val="4BA578A9"/>
    <w:rsid w:val="56405D36"/>
    <w:rsid w:val="57151371"/>
    <w:rsid w:val="5C762FCC"/>
    <w:rsid w:val="5E613745"/>
    <w:rsid w:val="62BB47C0"/>
    <w:rsid w:val="67354103"/>
    <w:rsid w:val="6C400891"/>
    <w:rsid w:val="72335082"/>
    <w:rsid w:val="72720AF3"/>
    <w:rsid w:val="75146DB1"/>
    <w:rsid w:val="756034C6"/>
    <w:rsid w:val="787124EA"/>
    <w:rsid w:val="7EBC5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themeColor="followedHyperlink"/>
      <w:u w:val="single"/>
    </w:rPr>
  </w:style>
  <w:style w:type="character" w:styleId="7">
    <w:name w:val="Hyperlink"/>
    <w:basedOn w:val="5"/>
    <w:autoRedefine/>
    <w:unhideWhenUsed/>
    <w:qFormat/>
    <w:uiPriority w:val="99"/>
    <w:rPr>
      <w:color w:val="0000FF" w:themeColor="hyperlink"/>
      <w:u w:val="single"/>
    </w:rPr>
  </w:style>
  <w:style w:type="character" w:customStyle="1" w:styleId="8">
    <w:name w:val="页眉 Char"/>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1494</Words>
  <Characters>1603</Characters>
  <Lines>15</Lines>
  <Paragraphs>4</Paragraphs>
  <TotalTime>1</TotalTime>
  <ScaleCrop>false</ScaleCrop>
  <LinksUpToDate>false</LinksUpToDate>
  <CharactersWithSpaces>1604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2021-03-02T06:52:00Z</dcterms:created>
  <dc:creator>PC</dc:creator>
  <cp:lastModifiedBy>pc</cp:lastModifiedBy>
  <cp:lastPrinted>2024-05-14T06:33:00Z</cp:lastPrinted>
  <dcterms:modified xsi:type="dcterms:W3CDTF">2024-05-20T02:28:15Z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2FF26BA6DE384E11A39FE1CD680BC7F4</vt:lpwstr>
  </property>
</Properties>
</file>