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宋体" w:hAnsi="宋体" w:eastAsia="宋体" w:cs="宋体"/>
          <w:b/>
          <w:bCs w:val="0"/>
          <w:spacing w:val="20"/>
          <w:sz w:val="44"/>
          <w:szCs w:val="44"/>
        </w:rPr>
      </w:pPr>
    </w:p>
    <w:p>
      <w:pPr>
        <w:keepNext w:val="0"/>
        <w:keepLines w:val="0"/>
        <w:pageBreakBefore w:val="0"/>
        <w:widowControl w:val="0"/>
        <w:kinsoku/>
        <w:wordWrap w:val="0"/>
        <w:overflowPunct/>
        <w:topLinePunct w:val="0"/>
        <w:autoSpaceDE/>
        <w:autoSpaceDN/>
        <w:bidi w:val="0"/>
        <w:adjustRightInd/>
        <w:snapToGrid/>
        <w:ind w:right="0" w:rightChars="0"/>
        <w:jc w:val="center"/>
        <w:textAlignment w:val="auto"/>
        <w:rPr>
          <w:rFonts w:hint="eastAsia" w:ascii="方正小标宋简体" w:hAnsi="方正小标宋简体" w:eastAsia="方正小标宋简体" w:cs="方正小标宋简体"/>
          <w:bCs/>
          <w:spacing w:val="20"/>
          <w:sz w:val="44"/>
          <w:szCs w:val="44"/>
        </w:rPr>
      </w:pPr>
      <w:r>
        <w:rPr>
          <w:rFonts w:hint="eastAsia" w:ascii="宋体" w:hAnsi="宋体" w:eastAsia="宋体" w:cs="宋体"/>
          <w:b/>
          <w:bCs w:val="0"/>
          <w:spacing w:val="20"/>
          <w:sz w:val="44"/>
          <w:szCs w:val="44"/>
        </w:rPr>
        <w:t>行政处罚</w:t>
      </w:r>
      <w:r>
        <w:rPr>
          <w:rFonts w:hint="eastAsia" w:ascii="宋体" w:hAnsi="宋体" w:cs="宋体"/>
          <w:b/>
          <w:bCs w:val="0"/>
          <w:spacing w:val="20"/>
          <w:sz w:val="44"/>
          <w:szCs w:val="44"/>
          <w:lang w:val="en-US" w:eastAsia="zh-CN"/>
        </w:rPr>
        <w:t>决定书</w:t>
      </w:r>
    </w:p>
    <w:p>
      <w:pPr>
        <w:keepNext w:val="0"/>
        <w:keepLines w:val="0"/>
        <w:pageBreakBefore w:val="0"/>
        <w:widowControl w:val="0"/>
        <w:kinsoku/>
        <w:wordWrap w:val="0"/>
        <w:overflowPunct/>
        <w:topLinePunct w:val="0"/>
        <w:autoSpaceDE/>
        <w:autoSpaceDN/>
        <w:bidi w:val="0"/>
        <w:adjustRightInd/>
        <w:snapToGrid/>
        <w:ind w:right="0" w:rightChars="0"/>
        <w:jc w:val="right"/>
        <w:textAlignment w:val="auto"/>
        <w:rPr>
          <w:rFonts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rPr>
        <w:t>台</w:t>
      </w:r>
      <w:r>
        <w:rPr>
          <w:rFonts w:hint="eastAsia" w:ascii="仿宋" w:hAnsi="仿宋" w:eastAsia="仿宋"/>
          <w:sz w:val="28"/>
          <w:szCs w:val="28"/>
          <w:lang w:eastAsia="zh-CN"/>
        </w:rPr>
        <w:t>)</w:t>
      </w:r>
      <w:r>
        <w:rPr>
          <w:rFonts w:hint="eastAsia" w:ascii="仿宋" w:hAnsi="仿宋" w:eastAsia="仿宋"/>
          <w:sz w:val="28"/>
          <w:szCs w:val="28"/>
          <w:lang w:val="en-US" w:eastAsia="zh-CN"/>
        </w:rPr>
        <w:t>文</w:t>
      </w:r>
      <w:r>
        <w:rPr>
          <w:rFonts w:hint="eastAsia" w:ascii="仿宋" w:hAnsi="仿宋" w:eastAsia="仿宋"/>
          <w:sz w:val="28"/>
          <w:szCs w:val="28"/>
        </w:rPr>
        <w:t>综罚字〔202</w:t>
      </w:r>
      <w:r>
        <w:rPr>
          <w:rFonts w:hint="eastAsia" w:ascii="仿宋" w:hAnsi="仿宋" w:eastAsia="仿宋"/>
          <w:sz w:val="28"/>
          <w:szCs w:val="28"/>
          <w:lang w:val="en-US" w:eastAsia="zh-CN"/>
        </w:rPr>
        <w:t>4</w:t>
      </w:r>
      <w:r>
        <w:rPr>
          <w:rFonts w:hint="eastAsia" w:ascii="仿宋" w:hAnsi="仿宋" w:eastAsia="仿宋"/>
          <w:sz w:val="28"/>
          <w:szCs w:val="28"/>
        </w:rPr>
        <w:t>〕0</w:t>
      </w:r>
      <w:r>
        <w:rPr>
          <w:rFonts w:hint="eastAsia" w:ascii="仿宋" w:hAnsi="仿宋" w:eastAsia="仿宋"/>
          <w:sz w:val="28"/>
          <w:szCs w:val="28"/>
          <w:lang w:val="en-US" w:eastAsia="zh-CN"/>
        </w:rPr>
        <w:t>3</w:t>
      </w:r>
      <w:r>
        <w:rPr>
          <w:rFonts w:hint="eastAsia" w:ascii="仿宋" w:hAnsi="仿宋" w:eastAsia="仿宋"/>
          <w:sz w:val="28"/>
          <w:szCs w:val="28"/>
        </w:rPr>
        <w:t>号</w:t>
      </w:r>
    </w:p>
    <w:p>
      <w:pPr>
        <w:keepNext w:val="0"/>
        <w:keepLines w:val="0"/>
        <w:pageBreakBefore w:val="0"/>
        <w:widowControl w:val="0"/>
        <w:kinsoku/>
        <w:wordWrap w:val="0"/>
        <w:overflowPunct/>
        <w:topLinePunct w:val="0"/>
        <w:autoSpaceDE/>
        <w:autoSpaceDN/>
        <w:bidi w:val="0"/>
        <w:adjustRightInd/>
        <w:snapToGrid/>
        <w:ind w:right="0" w:rightChars="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当事人：福州市台江区</w:t>
      </w:r>
      <w:bookmarkStart w:id="0" w:name="_GoBack"/>
      <w:bookmarkEnd w:id="0"/>
      <w:r>
        <w:rPr>
          <w:rFonts w:hint="eastAsia" w:ascii="仿宋" w:hAnsi="仿宋" w:eastAsia="仿宋" w:cs="仿宋"/>
          <w:bCs/>
          <w:color w:val="000000"/>
          <w:sz w:val="32"/>
          <w:szCs w:val="32"/>
          <w:u w:val="none"/>
          <w:lang w:val="en-US" w:eastAsia="zh-CN"/>
        </w:rPr>
        <w:t>百思特网吧</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证照名称及号码：</w:t>
      </w:r>
      <w:r>
        <w:rPr>
          <w:rFonts w:hint="eastAsia" w:ascii="仿宋" w:hAnsi="仿宋" w:eastAsia="仿宋" w:cs="仿宋_GB2312"/>
          <w:bCs/>
          <w:color w:val="000000"/>
          <w:kern w:val="0"/>
          <w:sz w:val="32"/>
          <w:szCs w:val="32"/>
          <w:u w:val="none"/>
          <w:lang w:val="en-US" w:eastAsia="zh-CN"/>
        </w:rPr>
        <w:t>营业执照(</w:t>
      </w:r>
      <w:r>
        <w:rPr>
          <w:rFonts w:hint="eastAsia" w:ascii="仿宋" w:hAnsi="仿宋" w:eastAsia="仿宋"/>
          <w:color w:val="auto"/>
          <w:sz w:val="32"/>
          <w:szCs w:val="32"/>
        </w:rPr>
        <w:t>统一社会信用代码：9</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350</w:t>
      </w:r>
      <w:r>
        <w:rPr>
          <w:rFonts w:hint="eastAsia" w:ascii="仿宋" w:hAnsi="仿宋" w:eastAsia="仿宋"/>
          <w:color w:val="auto"/>
          <w:sz w:val="32"/>
          <w:szCs w:val="32"/>
          <w:lang w:val="en-US" w:eastAsia="zh-CN"/>
        </w:rPr>
        <w:t>XXX2XW3XXX</w:t>
      </w:r>
      <w:r>
        <w:rPr>
          <w:rFonts w:hint="eastAsia" w:ascii="仿宋" w:hAnsi="仿宋" w:eastAsia="仿宋" w:cs="仿宋_GB2312"/>
          <w:bCs/>
          <w:color w:val="000000"/>
          <w:kern w:val="0"/>
          <w:sz w:val="32"/>
          <w:szCs w:val="32"/>
          <w:u w:val="none"/>
          <w:lang w:val="en-US" w:eastAsia="zh-CN"/>
        </w:rPr>
        <w:t>)</w:t>
      </w:r>
    </w:p>
    <w:p>
      <w:pPr>
        <w:keepNext w:val="0"/>
        <w:keepLines w:val="0"/>
        <w:pageBreakBefore w:val="0"/>
        <w:widowControl w:val="0"/>
        <w:kinsoku/>
        <w:wordWrap w:val="0"/>
        <w:overflowPunct/>
        <w:topLinePunct w:val="0"/>
        <w:autoSpaceDE/>
        <w:autoSpaceDN/>
        <w:bidi w:val="0"/>
        <w:adjustRightInd/>
        <w:snapToGrid/>
        <w:ind w:right="0" w:rightChars="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住所：</w:t>
      </w:r>
      <w:r>
        <w:rPr>
          <w:rFonts w:hint="eastAsia"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XXX街道XX路163号XX公寓02.03店面</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2024年5月3日16时10分</w:t>
      </w:r>
      <w:r>
        <w:rPr>
          <w:rFonts w:hint="eastAsia" w:ascii="仿宋_GB2312" w:hAnsi="宋体" w:eastAsia="仿宋_GB2312"/>
          <w:color w:val="auto"/>
          <w:sz w:val="32"/>
          <w:szCs w:val="32"/>
          <w:lang w:val="en-US" w:eastAsia="zh-CN"/>
        </w:rPr>
        <w:t>台江区文化体育和旅游局两名执法人员王X</w:t>
      </w:r>
      <w:r>
        <w:rPr>
          <w:rFonts w:hint="eastAsia" w:ascii="仿宋" w:hAnsi="仿宋" w:eastAsia="仿宋"/>
          <w:color w:val="auto"/>
          <w:sz w:val="32"/>
          <w:szCs w:val="32"/>
        </w:rPr>
        <w:t>(1301022100</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_GB2312" w:hAnsi="宋体" w:eastAsia="仿宋_GB2312"/>
          <w:color w:val="auto"/>
          <w:sz w:val="32"/>
          <w:szCs w:val="32"/>
          <w:lang w:val="en-US" w:eastAsia="zh-CN"/>
        </w:rPr>
        <w:t>林X</w:t>
      </w:r>
      <w:r>
        <w:rPr>
          <w:rFonts w:hint="eastAsia" w:ascii="仿宋" w:hAnsi="仿宋" w:eastAsia="仿宋"/>
          <w:color w:val="auto"/>
          <w:sz w:val="32"/>
          <w:szCs w:val="32"/>
        </w:rPr>
        <w:t>(13010221003)</w:t>
      </w:r>
      <w:r>
        <w:rPr>
          <w:rFonts w:hint="eastAsia" w:ascii="仿宋" w:hAnsi="仿宋" w:eastAsia="仿宋"/>
          <w:color w:val="auto"/>
          <w:sz w:val="32"/>
          <w:szCs w:val="32"/>
          <w:lang w:val="en-US" w:eastAsia="zh-CN"/>
        </w:rPr>
        <w:t>至</w:t>
      </w:r>
      <w:r>
        <w:rPr>
          <w:rFonts w:hint="eastAsia" w:ascii="仿宋_GB2312" w:hAnsi="仿宋_GB2312" w:eastAsia="仿宋_GB2312" w:cs="仿宋_GB2312"/>
          <w:color w:val="auto"/>
          <w:sz w:val="32"/>
          <w:szCs w:val="32"/>
          <w:lang w:val="en-US" w:eastAsia="zh-CN"/>
        </w:rPr>
        <w:t>福州市</w:t>
      </w:r>
      <w:r>
        <w:rPr>
          <w:rFonts w:hint="eastAsia" w:ascii="仿宋_GB2312" w:hAnsi="仿宋_GB2312" w:eastAsia="仿宋_GB2312" w:cs="仿宋_GB2312"/>
          <w:color w:val="auto"/>
          <w:sz w:val="32"/>
          <w:szCs w:val="32"/>
        </w:rPr>
        <w:t>台江区</w:t>
      </w:r>
      <w:r>
        <w:rPr>
          <w:rFonts w:hint="eastAsia" w:ascii="仿宋_GB2312" w:hAnsi="仿宋_GB2312" w:eastAsia="仿宋_GB2312" w:cs="仿宋_GB2312"/>
          <w:color w:val="auto"/>
          <w:sz w:val="32"/>
          <w:szCs w:val="32"/>
          <w:lang w:val="en-US" w:eastAsia="zh-CN"/>
        </w:rPr>
        <w:t>XXX街道XX路16号XX公寓02.03店面的福州市台江区百思特网吧，</w:t>
      </w:r>
      <w:r>
        <w:rPr>
          <w:rFonts w:hint="eastAsia" w:ascii="仿宋" w:hAnsi="仿宋" w:eastAsia="仿宋"/>
          <w:color w:val="auto"/>
          <w:sz w:val="32"/>
          <w:szCs w:val="32"/>
          <w:lang w:val="en-US" w:eastAsia="zh-CN"/>
        </w:rPr>
        <w:t>向现场工作人员雷XX网管出示执法证件并说明目的后，开始现场检查。发现该场所未悬挂《营业执照》，灭火器箱内无巡查登记表，《台江区网吧消防检查记录表》和《台江区网吧每日自查表》仅登记至2024年4月20日，现场有人吸烟，地面垃圾未及时清理，垃圾分类不规范，现场仅一名工作人员，检查时未见有工作人员场内巡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color w:val="000000"/>
          <w:kern w:val="0"/>
          <w:sz w:val="32"/>
          <w:szCs w:val="32"/>
          <w:u w:val="none"/>
          <w:lang w:val="en-US" w:eastAsia="zh-CN"/>
        </w:rPr>
      </w:pPr>
      <w:r>
        <w:rPr>
          <w:rFonts w:hint="eastAsia" w:ascii="仿宋" w:hAnsi="仿宋" w:eastAsia="仿宋"/>
          <w:color w:val="auto"/>
          <w:sz w:val="32"/>
          <w:szCs w:val="32"/>
          <w:lang w:val="en-US" w:eastAsia="zh-CN"/>
        </w:rPr>
        <w:t>执法人员全程拍照、录像、记录执法全过程，并制作《现场检查(勘验)笔录》1份，下发《调查询问通知书》1份，现场工作人员雷XX见证了执法全过程，并在相关文书上签字确认。</w:t>
      </w:r>
      <w:r>
        <w:rPr>
          <w:rFonts w:hint="eastAsia" w:ascii="仿宋" w:hAnsi="仿宋" w:eastAsia="仿宋" w:cs="仿宋"/>
          <w:bCs/>
          <w:color w:val="000000"/>
          <w:kern w:val="0"/>
          <w:sz w:val="32"/>
          <w:szCs w:val="32"/>
          <w:u w:val="none"/>
          <w:lang w:val="en-US" w:eastAsia="zh-CN"/>
        </w:rPr>
        <w:t>2023年5月6日，本案经批准后以一般程序立案。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2024年5月6日下午，</w:t>
      </w:r>
      <w:r>
        <w:rPr>
          <w:rFonts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百思特网吧法定代表人黄XX</w:t>
      </w:r>
      <w:r>
        <w:rPr>
          <w:rFonts w:hint="eastAsia" w:ascii="仿宋" w:hAnsi="仿宋" w:eastAsia="仿宋" w:cs="仿宋"/>
          <w:bCs/>
          <w:color w:val="000000"/>
          <w:kern w:val="0"/>
          <w:sz w:val="32"/>
          <w:szCs w:val="32"/>
          <w:u w:val="none"/>
          <w:lang w:val="en-US" w:eastAsia="zh-CN"/>
        </w:rPr>
        <w:t>按照《调查询问通知书》的要求前来我局接受调查询问，供述了</w:t>
      </w:r>
      <w:r>
        <w:rPr>
          <w:rFonts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百思特网吧</w:t>
      </w:r>
      <w:r>
        <w:rPr>
          <w:rFonts w:hint="eastAsia" w:ascii="仿宋" w:hAnsi="仿宋" w:eastAsia="仿宋" w:cs="仿宋_GB2312"/>
          <w:bCs/>
          <w:color w:val="000000"/>
          <w:kern w:val="0"/>
          <w:sz w:val="32"/>
          <w:szCs w:val="32"/>
          <w:u w:val="none"/>
          <w:lang w:val="en-US" w:eastAsia="zh-CN"/>
        </w:rPr>
        <w:t>未建立场内巡查制度</w:t>
      </w:r>
      <w:r>
        <w:rPr>
          <w:rFonts w:hint="eastAsia" w:ascii="仿宋" w:hAnsi="仿宋" w:eastAsia="仿宋" w:cs="仿宋"/>
          <w:bCs/>
          <w:color w:val="000000"/>
          <w:kern w:val="0"/>
          <w:sz w:val="32"/>
          <w:szCs w:val="32"/>
          <w:u w:val="none"/>
          <w:lang w:val="en-US" w:eastAsia="zh-CN"/>
        </w:rPr>
        <w:t>的事实。询问结束后，黄XX在执法人员制作的《调查询问笔录》和相关证据材料上签字确认。</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经依法调查，查明相关事实如下：</w:t>
      </w:r>
      <w:r>
        <w:rPr>
          <w:rFonts w:hint="eastAsia" w:ascii="仿宋" w:hAnsi="仿宋" w:eastAsia="仿宋"/>
          <w:color w:val="auto"/>
          <w:sz w:val="32"/>
          <w:szCs w:val="32"/>
          <w:lang w:val="en-US" w:eastAsia="zh-CN"/>
        </w:rPr>
        <w:t xml:space="preserve">2024年5月3日16时 </w:t>
      </w:r>
      <w:r>
        <w:rPr>
          <w:rFonts w:hint="eastAsia" w:ascii="仿宋" w:hAnsi="仿宋" w:eastAsia="仿宋" w:cs="仿宋"/>
          <w:bCs/>
          <w:color w:val="000000"/>
          <w:kern w:val="0"/>
          <w:sz w:val="32"/>
          <w:szCs w:val="32"/>
          <w:u w:val="none"/>
          <w:lang w:val="en-US" w:eastAsia="zh-CN"/>
        </w:rPr>
        <w:t>10分台江区文化体育和旅游局两名执法人员王X、林X日常检</w:t>
      </w:r>
      <w:r>
        <w:rPr>
          <w:rFonts w:hint="eastAsia" w:ascii="仿宋_GB2312" w:hAnsi="宋体" w:eastAsia="仿宋_GB2312"/>
          <w:color w:val="auto"/>
          <w:sz w:val="32"/>
          <w:szCs w:val="32"/>
          <w:lang w:val="en-US" w:eastAsia="zh-CN"/>
        </w:rPr>
        <w:t>查时</w:t>
      </w:r>
      <w:r>
        <w:rPr>
          <w:rFonts w:hint="eastAsia" w:ascii="仿宋" w:hAnsi="仿宋" w:eastAsia="仿宋"/>
          <w:color w:val="auto"/>
          <w:sz w:val="32"/>
          <w:szCs w:val="32"/>
          <w:lang w:val="en-US" w:eastAsia="zh-CN"/>
        </w:rPr>
        <w:t>，发现</w:t>
      </w:r>
      <w:r>
        <w:rPr>
          <w:rFonts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百思特网吧</w:t>
      </w:r>
      <w:r>
        <w:rPr>
          <w:rFonts w:hint="eastAsia" w:ascii="仿宋" w:hAnsi="仿宋" w:eastAsia="仿宋"/>
          <w:color w:val="auto"/>
          <w:sz w:val="32"/>
          <w:szCs w:val="32"/>
          <w:lang w:val="en-US" w:eastAsia="zh-CN"/>
        </w:rPr>
        <w:t>未建立巡查制度的违法行为，</w:t>
      </w:r>
      <w:r>
        <w:rPr>
          <w:rFonts w:hint="eastAsia" w:ascii="仿宋" w:hAnsi="仿宋" w:eastAsia="仿宋" w:cs="仿宋"/>
          <w:bCs/>
          <w:color w:val="000000"/>
          <w:kern w:val="0"/>
          <w:sz w:val="32"/>
          <w:szCs w:val="32"/>
          <w:u w:val="none"/>
          <w:lang w:val="en-US" w:eastAsia="zh-CN"/>
        </w:rPr>
        <w:t>已构成要件，违法行为成立，违反《</w:t>
      </w:r>
      <w:r>
        <w:rPr>
          <w:rFonts w:hint="eastAsia" w:ascii="仿宋" w:hAnsi="仿宋" w:eastAsia="仿宋" w:cs="仿宋_GB2312"/>
          <w:bCs/>
          <w:color w:val="000000"/>
          <w:kern w:val="0"/>
          <w:sz w:val="32"/>
          <w:szCs w:val="32"/>
          <w:u w:val="none"/>
          <w:lang w:val="en-US" w:eastAsia="zh-CN" w:bidi="ar-SA"/>
        </w:rPr>
        <w:t>互联网上网服务营业场所管理条例》第十九条之规定。</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执法人员通过现场检查、调查询问、摄像拍照等取证方式，收集和调取了如下证据：</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1、执法人员制作的《现场检查(勘验)笔录》(1份)、《现场检查(勘验)照片》(10张)记录现场检查情况，证明现场检查依法执行。</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default" w:ascii="仿宋" w:hAnsi="仿宋" w:eastAsia="仿宋" w:cs="仿宋"/>
          <w:bCs/>
          <w:color w:val="000000"/>
          <w:kern w:val="0"/>
          <w:sz w:val="32"/>
          <w:szCs w:val="32"/>
          <w:u w:val="none"/>
          <w:lang w:val="en-US" w:eastAsia="zh-CN"/>
        </w:rPr>
      </w:pPr>
      <w:r>
        <w:rPr>
          <w:rFonts w:hint="eastAsia" w:ascii="仿宋" w:hAnsi="仿宋" w:eastAsia="仿宋" w:cs="仿宋"/>
          <w:bCs/>
          <w:color w:val="000000"/>
          <w:kern w:val="0"/>
          <w:sz w:val="32"/>
          <w:szCs w:val="32"/>
          <w:u w:val="none"/>
          <w:lang w:val="en-US" w:eastAsia="zh-CN"/>
        </w:rPr>
        <w:t>2、执法人员制作的《调查询问通知书》和《调查询问笔录》各1份，证明执法人员依法调查案件过程和福州市台江区百思特网吧未建立场内巡查制度的事实。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3、</w:t>
      </w:r>
      <w:r>
        <w:rPr>
          <w:rFonts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百思特网吧</w:t>
      </w:r>
      <w:r>
        <w:rPr>
          <w:rFonts w:hint="eastAsia" w:ascii="仿宋" w:hAnsi="仿宋" w:eastAsia="仿宋" w:cs="仿宋_GB2312"/>
          <w:bCs/>
          <w:color w:val="000000"/>
          <w:kern w:val="0"/>
          <w:sz w:val="32"/>
          <w:szCs w:val="32"/>
          <w:u w:val="none"/>
          <w:lang w:val="en-US" w:eastAsia="zh-CN"/>
        </w:rPr>
        <w:t>《营业执照》和《网络文化经营许可证》复印件各1份，证明</w:t>
      </w:r>
      <w:r>
        <w:rPr>
          <w:rFonts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百思特网吧</w:t>
      </w:r>
      <w:r>
        <w:rPr>
          <w:rFonts w:hint="eastAsia" w:ascii="仿宋" w:hAnsi="仿宋" w:eastAsia="仿宋" w:cs="仿宋_GB2312"/>
          <w:bCs/>
          <w:color w:val="000000"/>
          <w:kern w:val="0"/>
          <w:sz w:val="32"/>
          <w:szCs w:val="32"/>
          <w:u w:val="none"/>
          <w:lang w:val="en-US" w:eastAsia="zh-CN"/>
        </w:rPr>
        <w:t>主体资格。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4、</w:t>
      </w:r>
      <w:r>
        <w:rPr>
          <w:rFonts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百思特网吧</w:t>
      </w:r>
      <w:r>
        <w:rPr>
          <w:rFonts w:hint="eastAsia" w:ascii="仿宋" w:hAnsi="仿宋" w:eastAsia="仿宋" w:cs="仿宋_GB2312"/>
          <w:bCs/>
          <w:color w:val="000000"/>
          <w:kern w:val="0"/>
          <w:sz w:val="32"/>
          <w:szCs w:val="32"/>
          <w:u w:val="none"/>
          <w:lang w:val="en-US" w:eastAsia="zh-CN"/>
        </w:rPr>
        <w:t>法定代表人黄XX的身份证复印件1份，证明法定代表人</w:t>
      </w:r>
      <w:r>
        <w:rPr>
          <w:rFonts w:hint="eastAsia" w:ascii="仿宋" w:hAnsi="仿宋" w:eastAsia="仿宋" w:cs="仿宋_GB2312"/>
          <w:bCs/>
          <w:kern w:val="0"/>
          <w:sz w:val="32"/>
          <w:szCs w:val="32"/>
          <w:lang w:val="en-US" w:eastAsia="zh-CN"/>
        </w:rPr>
        <w:t>身份</w:t>
      </w:r>
      <w:r>
        <w:rPr>
          <w:rFonts w:hint="eastAsia" w:ascii="仿宋" w:hAnsi="仿宋" w:eastAsia="仿宋" w:cs="仿宋_GB2312"/>
          <w:bCs/>
          <w:color w:val="000000"/>
          <w:kern w:val="0"/>
          <w:sz w:val="32"/>
          <w:szCs w:val="32"/>
          <w:u w:val="none"/>
          <w:lang w:val="en-US" w:eastAsia="zh-CN"/>
        </w:rPr>
        <w:t>。</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_GB2312"/>
          <w:bCs/>
          <w:color w:val="000000"/>
          <w:kern w:val="0"/>
          <w:sz w:val="32"/>
          <w:szCs w:val="32"/>
          <w:u w:val="none"/>
          <w:lang w:val="en-US" w:eastAsia="zh-CN"/>
        </w:rPr>
        <w:t>上述证据相互印证，形成完整的证据链，足以证明当事人</w:t>
      </w:r>
      <w:r>
        <w:rPr>
          <w:rFonts w:ascii="仿宋" w:hAnsi="仿宋" w:eastAsia="仿宋" w:cs="仿宋_GB2312"/>
          <w:bCs/>
          <w:kern w:val="0"/>
          <w:sz w:val="32"/>
          <w:szCs w:val="32"/>
        </w:rPr>
        <w:t>福州市台江区</w:t>
      </w:r>
      <w:r>
        <w:rPr>
          <w:rFonts w:hint="eastAsia" w:ascii="仿宋" w:hAnsi="仿宋" w:eastAsia="仿宋" w:cs="仿宋_GB2312"/>
          <w:bCs/>
          <w:kern w:val="0"/>
          <w:sz w:val="32"/>
          <w:szCs w:val="32"/>
          <w:lang w:val="en-US" w:eastAsia="zh-CN"/>
        </w:rPr>
        <w:t>百思特网吧</w:t>
      </w:r>
      <w:r>
        <w:rPr>
          <w:rFonts w:hint="eastAsia" w:ascii="仿宋" w:hAnsi="仿宋" w:eastAsia="仿宋" w:cs="仿宋_GB2312"/>
          <w:bCs/>
          <w:color w:val="000000"/>
          <w:kern w:val="0"/>
          <w:sz w:val="32"/>
          <w:szCs w:val="32"/>
          <w:u w:val="none"/>
          <w:lang w:val="en-US" w:eastAsia="zh-CN"/>
        </w:rPr>
        <w:t>未建立场内巡查制度的违法事实。</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鉴于当事人福州市台江区百思特网吧未建立场内巡查制度的违法行为，违反了《互联网上网服务营业场所管理条例》第十九条规定，依据《互联网上网服务营业场所管理条例》第三十三条（二）项和《福州市文化和旅游行政处罚裁量标准》(FZ01WH-CF-0066)的规定，福州市台江区百思特网吧违法情节一般，未造成影响，现我局对福州市台江区百思特网吧作出如下行政处罚决定：给予警告，并处壹仟元(1000元)罚款。</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福州市台江区百思特网吧应当自收到本决定书之日起十五日内，通过我机关开具的</w:t>
      </w:r>
      <w:r>
        <w:rPr>
          <w:rFonts w:hint="eastAsia" w:ascii="仿宋" w:hAnsi="仿宋" w:eastAsia="仿宋" w:cs="仿宋_GB2312"/>
          <w:b/>
          <w:bCs w:val="0"/>
          <w:color w:val="000000"/>
          <w:kern w:val="0"/>
          <w:sz w:val="32"/>
          <w:szCs w:val="32"/>
          <w:u w:val="single"/>
          <w:lang w:val="en-US" w:eastAsia="zh-CN"/>
        </w:rPr>
        <w:t>电子缴款书指定的缴款渠道</w:t>
      </w:r>
      <w:r>
        <w:rPr>
          <w:rFonts w:hint="eastAsia" w:ascii="仿宋" w:hAnsi="仿宋" w:eastAsia="仿宋" w:cs="仿宋_GB2312"/>
          <w:bCs/>
          <w:color w:val="000000"/>
          <w:kern w:val="0"/>
          <w:sz w:val="32"/>
          <w:szCs w:val="32"/>
          <w:u w:val="none"/>
          <w:lang w:val="en-US" w:eastAsia="zh-CN"/>
        </w:rPr>
        <w:t>缴纳罚款。</w:t>
      </w:r>
      <w:r>
        <w:rPr>
          <w:rFonts w:hint="eastAsia" w:ascii="仿宋" w:hAnsi="仿宋" w:eastAsia="仿宋" w:cs="仿宋_GB2312"/>
          <w:bCs/>
          <w:color w:val="000000"/>
          <w:kern w:val="0"/>
          <w:sz w:val="32"/>
          <w:szCs w:val="32"/>
          <w:u w:val="none"/>
          <w:lang w:val="zh-CN" w:eastAsia="zh-CN"/>
        </w:rPr>
        <w:t>逾期不缴纳罚款的，依据《中华人民共和国行政处罚法》第七十二条第一款第(一)项的规定，本机关可每日按罚款数额的百分之三加处罚款，并</w:t>
      </w:r>
      <w:r>
        <w:rPr>
          <w:rFonts w:hint="eastAsia" w:ascii="仿宋" w:hAnsi="仿宋" w:eastAsia="仿宋" w:cs="仿宋_GB2312"/>
          <w:bCs/>
          <w:color w:val="000000"/>
          <w:kern w:val="0"/>
          <w:sz w:val="32"/>
          <w:szCs w:val="32"/>
          <w:u w:val="none"/>
          <w:lang w:val="en-US" w:eastAsia="zh-CN"/>
        </w:rPr>
        <w:t>依据《中华人民共和国行政强制法》第四十六条的规定</w:t>
      </w:r>
      <w:r>
        <w:rPr>
          <w:rFonts w:hint="eastAsia" w:ascii="仿宋" w:hAnsi="仿宋" w:eastAsia="仿宋" w:cs="仿宋_GB2312"/>
          <w:bCs/>
          <w:color w:val="000000"/>
          <w:kern w:val="0"/>
          <w:sz w:val="32"/>
          <w:szCs w:val="32"/>
          <w:u w:val="none"/>
          <w:lang w:val="zh-CN" w:eastAsia="zh-CN"/>
        </w:rPr>
        <w:t>申请人民法院强制执行。</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福州市台江区百思特网吧如对本处罚决定不服，可在收到本决定书之日起六十日内向福州市台江区人民政府申请行政复议，也可在收到本决定书之日起六个月内直接向福州市晋安区人民法院提起行政诉讼。行政复议或者行政诉讼期间，本处罚决定不停止执行。</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逾期不申请行政复议或者提起行政诉讼，又不履行本处罚决定，经催告后仍未履行义务的，依据《中华人民共和国行政强制法》第五十四条的规定，本机关可申请人民法院强制执行。</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default"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联系地址：福州市台江区学军路92号1003室</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联系人：林X、石XX</w:t>
      </w:r>
    </w:p>
    <w:p>
      <w:pPr>
        <w:keepNext w:val="0"/>
        <w:keepLines w:val="0"/>
        <w:pageBreakBefore w:val="0"/>
        <w:widowControl w:val="0"/>
        <w:kinsoku/>
        <w:wordWrap w:val="0"/>
        <w:overflowPunct/>
        <w:topLinePunct/>
        <w:autoSpaceDE/>
        <w:autoSpaceDN/>
        <w:bidi w:val="0"/>
        <w:adjustRightInd/>
        <w:snapToGrid/>
        <w:spacing w:line="240" w:lineRule="auto"/>
        <w:ind w:firstLine="640" w:firstLineChars="200"/>
        <w:textAlignment w:val="auto"/>
        <w:rPr>
          <w:rFonts w:hint="eastAsia" w:ascii="仿宋" w:hAnsi="仿宋" w:eastAsia="仿宋" w:cs="仿宋_GB2312"/>
          <w:bCs/>
          <w:color w:val="000000"/>
          <w:kern w:val="0"/>
          <w:sz w:val="32"/>
          <w:szCs w:val="32"/>
          <w:u w:val="none"/>
          <w:lang w:val="en-US" w:eastAsia="zh-CN"/>
        </w:rPr>
      </w:pPr>
      <w:r>
        <w:rPr>
          <w:rFonts w:hint="eastAsia" w:ascii="仿宋" w:hAnsi="仿宋" w:eastAsia="仿宋" w:cs="仿宋_GB2312"/>
          <w:bCs/>
          <w:color w:val="000000"/>
          <w:kern w:val="0"/>
          <w:sz w:val="32"/>
          <w:szCs w:val="32"/>
          <w:u w:val="none"/>
          <w:lang w:val="en-US" w:eastAsia="zh-CN"/>
        </w:rPr>
        <w:t>联系电话：0591—83251196</w:t>
      </w: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bCs/>
          <w:color w:val="00000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textAlignment w:val="auto"/>
        <w:rPr>
          <w:rFonts w:hint="eastAsia" w:ascii="仿宋" w:hAnsi="仿宋" w:eastAsia="仿宋" w:cs="仿宋"/>
          <w:bCs/>
          <w:color w:val="000000"/>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ind w:right="0" w:rightChars="0" w:firstLine="640" w:firstLineChars="200"/>
        <w:jc w:val="right"/>
        <w:textAlignment w:val="auto"/>
        <w:rPr>
          <w:rFonts w:hint="default"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福州市台江区文化体育和旅游局</w:t>
      </w:r>
    </w:p>
    <w:p>
      <w:pPr>
        <w:keepNext w:val="0"/>
        <w:keepLines w:val="0"/>
        <w:pageBreakBefore w:val="0"/>
        <w:widowControl w:val="0"/>
        <w:tabs>
          <w:tab w:val="left" w:pos="5460"/>
        </w:tabs>
        <w:kinsoku/>
        <w:wordWrap w:val="0"/>
        <w:overflowPunct/>
        <w:topLinePunct w:val="0"/>
        <w:autoSpaceDE/>
        <w:autoSpaceDN/>
        <w:bidi w:val="0"/>
        <w:adjustRightInd/>
        <w:snapToGrid/>
        <w:ind w:right="0" w:rightChars="0" w:firstLine="640" w:firstLineChars="200"/>
        <w:jc w:val="left"/>
        <w:textAlignment w:val="auto"/>
        <w:rPr>
          <w:rFonts w:hint="eastAsia" w:ascii="仿宋" w:hAnsi="仿宋" w:eastAsia="仿宋" w:cs="仿宋"/>
          <w:bCs/>
          <w:color w:val="000000"/>
          <w:sz w:val="32"/>
          <w:szCs w:val="32"/>
          <w:u w:val="none"/>
          <w:lang w:val="en-US" w:eastAsia="zh-CN"/>
        </w:rPr>
      </w:pPr>
      <w:r>
        <w:rPr>
          <w:rFonts w:hint="eastAsia" w:ascii="仿宋" w:hAnsi="仿宋" w:eastAsia="仿宋" w:cs="仿宋"/>
          <w:bCs/>
          <w:color w:val="000000"/>
          <w:sz w:val="32"/>
          <w:szCs w:val="32"/>
          <w:u w:val="none"/>
          <w:lang w:val="en-US" w:eastAsia="zh-CN"/>
        </w:rPr>
        <w:tab/>
      </w:r>
      <w:r>
        <w:rPr>
          <w:rFonts w:hint="eastAsia" w:ascii="仿宋" w:hAnsi="仿宋" w:eastAsia="仿宋" w:cs="仿宋"/>
          <w:bCs/>
          <w:color w:val="000000"/>
          <w:sz w:val="32"/>
          <w:szCs w:val="32"/>
          <w:u w:val="none"/>
          <w:lang w:val="en-US" w:eastAsia="zh-CN"/>
        </w:rPr>
        <w:t>2024年5月16日</w:t>
      </w:r>
    </w:p>
    <w:sectPr>
      <w:footerReference r:id="rId3" w:type="default"/>
      <w:pgSz w:w="11906" w:h="16838"/>
      <w:pgMar w:top="1134" w:right="1417" w:bottom="1134"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lOTJhZGJiYjYzMjQyNjI5M2M3NjhiNTExMDNiNmQifQ=="/>
  </w:docVars>
  <w:rsids>
    <w:rsidRoot w:val="0057165A"/>
    <w:rsid w:val="00022AC5"/>
    <w:rsid w:val="00036854"/>
    <w:rsid w:val="000E16A6"/>
    <w:rsid w:val="0013159F"/>
    <w:rsid w:val="00133CB0"/>
    <w:rsid w:val="001737A0"/>
    <w:rsid w:val="001C3616"/>
    <w:rsid w:val="001F5066"/>
    <w:rsid w:val="00240493"/>
    <w:rsid w:val="00241FD1"/>
    <w:rsid w:val="00242DBA"/>
    <w:rsid w:val="00255963"/>
    <w:rsid w:val="00263ECD"/>
    <w:rsid w:val="00327D26"/>
    <w:rsid w:val="00344AF9"/>
    <w:rsid w:val="0049327A"/>
    <w:rsid w:val="004B4AC2"/>
    <w:rsid w:val="004C26C1"/>
    <w:rsid w:val="004C779D"/>
    <w:rsid w:val="004F144C"/>
    <w:rsid w:val="004F1F4E"/>
    <w:rsid w:val="004F1FE2"/>
    <w:rsid w:val="0057165A"/>
    <w:rsid w:val="00583307"/>
    <w:rsid w:val="005837FC"/>
    <w:rsid w:val="006218A4"/>
    <w:rsid w:val="00636820"/>
    <w:rsid w:val="006A09D1"/>
    <w:rsid w:val="006B6FD1"/>
    <w:rsid w:val="00710ECB"/>
    <w:rsid w:val="00721D03"/>
    <w:rsid w:val="00790D36"/>
    <w:rsid w:val="007C5920"/>
    <w:rsid w:val="007E594C"/>
    <w:rsid w:val="007E63E2"/>
    <w:rsid w:val="007E6597"/>
    <w:rsid w:val="00855294"/>
    <w:rsid w:val="008A309B"/>
    <w:rsid w:val="008D14A7"/>
    <w:rsid w:val="008D1552"/>
    <w:rsid w:val="0090555D"/>
    <w:rsid w:val="00930F72"/>
    <w:rsid w:val="009328DE"/>
    <w:rsid w:val="009870B1"/>
    <w:rsid w:val="00990A3C"/>
    <w:rsid w:val="009A2730"/>
    <w:rsid w:val="009B7632"/>
    <w:rsid w:val="009E48B6"/>
    <w:rsid w:val="00A32588"/>
    <w:rsid w:val="00AA2D68"/>
    <w:rsid w:val="00AC59E3"/>
    <w:rsid w:val="00AF64CC"/>
    <w:rsid w:val="00B70E5E"/>
    <w:rsid w:val="00BE2513"/>
    <w:rsid w:val="00BF7156"/>
    <w:rsid w:val="00C20D7C"/>
    <w:rsid w:val="00C61DD9"/>
    <w:rsid w:val="00D01006"/>
    <w:rsid w:val="00D37FA3"/>
    <w:rsid w:val="00D51ACF"/>
    <w:rsid w:val="00D67507"/>
    <w:rsid w:val="00D76525"/>
    <w:rsid w:val="00D9012D"/>
    <w:rsid w:val="00DA5BCC"/>
    <w:rsid w:val="00DB17AE"/>
    <w:rsid w:val="00DB1E14"/>
    <w:rsid w:val="00DB560D"/>
    <w:rsid w:val="00DE6CF5"/>
    <w:rsid w:val="00E73464"/>
    <w:rsid w:val="00EA493A"/>
    <w:rsid w:val="00EC2049"/>
    <w:rsid w:val="00F11F1C"/>
    <w:rsid w:val="00FE3847"/>
    <w:rsid w:val="015C0E52"/>
    <w:rsid w:val="01A53E70"/>
    <w:rsid w:val="022659AD"/>
    <w:rsid w:val="032D68E7"/>
    <w:rsid w:val="03E051B0"/>
    <w:rsid w:val="0489058D"/>
    <w:rsid w:val="056537A1"/>
    <w:rsid w:val="06896151"/>
    <w:rsid w:val="06AA5246"/>
    <w:rsid w:val="07414820"/>
    <w:rsid w:val="07A918B4"/>
    <w:rsid w:val="07C70A5D"/>
    <w:rsid w:val="07D72EEC"/>
    <w:rsid w:val="084B1747"/>
    <w:rsid w:val="093E1D59"/>
    <w:rsid w:val="098D0C10"/>
    <w:rsid w:val="09A06631"/>
    <w:rsid w:val="09BD09EE"/>
    <w:rsid w:val="09D02201"/>
    <w:rsid w:val="09F838ED"/>
    <w:rsid w:val="0AB93277"/>
    <w:rsid w:val="0B00599A"/>
    <w:rsid w:val="0B0E26E5"/>
    <w:rsid w:val="0B0F67BF"/>
    <w:rsid w:val="0B7A3205"/>
    <w:rsid w:val="0BD6033C"/>
    <w:rsid w:val="0C56561B"/>
    <w:rsid w:val="0C686D7C"/>
    <w:rsid w:val="0D486352"/>
    <w:rsid w:val="0D4A483F"/>
    <w:rsid w:val="0D4D095C"/>
    <w:rsid w:val="0D6B7889"/>
    <w:rsid w:val="0D753A21"/>
    <w:rsid w:val="0D7D48E5"/>
    <w:rsid w:val="0F587009"/>
    <w:rsid w:val="0F5C4A19"/>
    <w:rsid w:val="118C6962"/>
    <w:rsid w:val="12196954"/>
    <w:rsid w:val="14C814DE"/>
    <w:rsid w:val="14FB646C"/>
    <w:rsid w:val="1632672F"/>
    <w:rsid w:val="163450C6"/>
    <w:rsid w:val="177B2F13"/>
    <w:rsid w:val="18E34BEE"/>
    <w:rsid w:val="19E32313"/>
    <w:rsid w:val="1A753763"/>
    <w:rsid w:val="1B756426"/>
    <w:rsid w:val="1B8B422E"/>
    <w:rsid w:val="1C121489"/>
    <w:rsid w:val="1C2E71CD"/>
    <w:rsid w:val="1CAC3F69"/>
    <w:rsid w:val="1D8F00E5"/>
    <w:rsid w:val="1DD71736"/>
    <w:rsid w:val="1E001792"/>
    <w:rsid w:val="1E6C7C29"/>
    <w:rsid w:val="1FBB5DF6"/>
    <w:rsid w:val="1FF26BAE"/>
    <w:rsid w:val="203126F5"/>
    <w:rsid w:val="20D12777"/>
    <w:rsid w:val="214C27E9"/>
    <w:rsid w:val="22263E96"/>
    <w:rsid w:val="22E07103"/>
    <w:rsid w:val="23865174"/>
    <w:rsid w:val="24D41FE0"/>
    <w:rsid w:val="25282445"/>
    <w:rsid w:val="256210C6"/>
    <w:rsid w:val="25A84345"/>
    <w:rsid w:val="260D5504"/>
    <w:rsid w:val="26381B8F"/>
    <w:rsid w:val="265116BC"/>
    <w:rsid w:val="27B32BD6"/>
    <w:rsid w:val="283D6944"/>
    <w:rsid w:val="28E175F7"/>
    <w:rsid w:val="292C4338"/>
    <w:rsid w:val="29EB5204"/>
    <w:rsid w:val="29FB416C"/>
    <w:rsid w:val="2A4E7C68"/>
    <w:rsid w:val="2A763ACC"/>
    <w:rsid w:val="2AB56BAD"/>
    <w:rsid w:val="2AC20C15"/>
    <w:rsid w:val="2B82123D"/>
    <w:rsid w:val="2C900878"/>
    <w:rsid w:val="2CCC02B3"/>
    <w:rsid w:val="2D3959A7"/>
    <w:rsid w:val="2E0A3C61"/>
    <w:rsid w:val="2E5F7FD6"/>
    <w:rsid w:val="2E7D0655"/>
    <w:rsid w:val="2EA65F6D"/>
    <w:rsid w:val="2F0A3A24"/>
    <w:rsid w:val="2FF707EA"/>
    <w:rsid w:val="2FF71950"/>
    <w:rsid w:val="31E91F60"/>
    <w:rsid w:val="346F257B"/>
    <w:rsid w:val="367A33E1"/>
    <w:rsid w:val="36A56D0D"/>
    <w:rsid w:val="37453EDC"/>
    <w:rsid w:val="37921729"/>
    <w:rsid w:val="37B23D13"/>
    <w:rsid w:val="384F24A7"/>
    <w:rsid w:val="38B05859"/>
    <w:rsid w:val="39202096"/>
    <w:rsid w:val="39567866"/>
    <w:rsid w:val="39821E51"/>
    <w:rsid w:val="399948DA"/>
    <w:rsid w:val="3A592760"/>
    <w:rsid w:val="3A744FAA"/>
    <w:rsid w:val="3AAE6328"/>
    <w:rsid w:val="3B2E6D95"/>
    <w:rsid w:val="3BAB3E99"/>
    <w:rsid w:val="3BDB50E1"/>
    <w:rsid w:val="3C533235"/>
    <w:rsid w:val="3DB22519"/>
    <w:rsid w:val="3E131497"/>
    <w:rsid w:val="3FF418DE"/>
    <w:rsid w:val="3FF84E98"/>
    <w:rsid w:val="409E2626"/>
    <w:rsid w:val="42260B91"/>
    <w:rsid w:val="42CF4646"/>
    <w:rsid w:val="4351574A"/>
    <w:rsid w:val="43B72ADC"/>
    <w:rsid w:val="44F52628"/>
    <w:rsid w:val="450319BA"/>
    <w:rsid w:val="45352A25"/>
    <w:rsid w:val="471C20EE"/>
    <w:rsid w:val="480D6281"/>
    <w:rsid w:val="48D56FCF"/>
    <w:rsid w:val="4A3106BF"/>
    <w:rsid w:val="4AAB7E53"/>
    <w:rsid w:val="4B2C17AB"/>
    <w:rsid w:val="4B824797"/>
    <w:rsid w:val="4C0C5DCE"/>
    <w:rsid w:val="4CD56F05"/>
    <w:rsid w:val="4D47628A"/>
    <w:rsid w:val="4D476664"/>
    <w:rsid w:val="4E55237F"/>
    <w:rsid w:val="4F450033"/>
    <w:rsid w:val="50F419E6"/>
    <w:rsid w:val="52063E02"/>
    <w:rsid w:val="5218144B"/>
    <w:rsid w:val="52886003"/>
    <w:rsid w:val="53CA61F9"/>
    <w:rsid w:val="554F1DD9"/>
    <w:rsid w:val="55CB6809"/>
    <w:rsid w:val="55DE5F5C"/>
    <w:rsid w:val="57256D9D"/>
    <w:rsid w:val="57287C8B"/>
    <w:rsid w:val="57E759CE"/>
    <w:rsid w:val="580544D9"/>
    <w:rsid w:val="582B77DA"/>
    <w:rsid w:val="59A91D9B"/>
    <w:rsid w:val="5A41588C"/>
    <w:rsid w:val="5A851FBE"/>
    <w:rsid w:val="5A8E389E"/>
    <w:rsid w:val="5B2655CF"/>
    <w:rsid w:val="5B3021EF"/>
    <w:rsid w:val="5BDB678B"/>
    <w:rsid w:val="5C472AFF"/>
    <w:rsid w:val="5CDD7451"/>
    <w:rsid w:val="5E0F7E5F"/>
    <w:rsid w:val="5E4B4FE8"/>
    <w:rsid w:val="5F021C2A"/>
    <w:rsid w:val="5F417E24"/>
    <w:rsid w:val="601943F4"/>
    <w:rsid w:val="60352307"/>
    <w:rsid w:val="605E50CE"/>
    <w:rsid w:val="609752F3"/>
    <w:rsid w:val="61860A62"/>
    <w:rsid w:val="61A43B1F"/>
    <w:rsid w:val="61BD296F"/>
    <w:rsid w:val="629C0013"/>
    <w:rsid w:val="629E2F93"/>
    <w:rsid w:val="62D05F97"/>
    <w:rsid w:val="63180A11"/>
    <w:rsid w:val="63345FA2"/>
    <w:rsid w:val="633D721D"/>
    <w:rsid w:val="64604C11"/>
    <w:rsid w:val="652C7C34"/>
    <w:rsid w:val="65736DA7"/>
    <w:rsid w:val="65C42A33"/>
    <w:rsid w:val="65E37480"/>
    <w:rsid w:val="664925F9"/>
    <w:rsid w:val="668E22A8"/>
    <w:rsid w:val="66B96502"/>
    <w:rsid w:val="66C832A1"/>
    <w:rsid w:val="67D62A90"/>
    <w:rsid w:val="68680A8E"/>
    <w:rsid w:val="68C75C84"/>
    <w:rsid w:val="68E50904"/>
    <w:rsid w:val="68F71C1C"/>
    <w:rsid w:val="69751288"/>
    <w:rsid w:val="698C6808"/>
    <w:rsid w:val="69D65CD5"/>
    <w:rsid w:val="6B317B17"/>
    <w:rsid w:val="6B5C61BC"/>
    <w:rsid w:val="6BCA1291"/>
    <w:rsid w:val="6BD0005F"/>
    <w:rsid w:val="6D76415A"/>
    <w:rsid w:val="6DF96B38"/>
    <w:rsid w:val="6E237D0B"/>
    <w:rsid w:val="6EA231EC"/>
    <w:rsid w:val="6EF12C91"/>
    <w:rsid w:val="6F24065E"/>
    <w:rsid w:val="6F401F35"/>
    <w:rsid w:val="6F92338C"/>
    <w:rsid w:val="6FA06B69"/>
    <w:rsid w:val="6FA342B6"/>
    <w:rsid w:val="704D0DEE"/>
    <w:rsid w:val="718A40FC"/>
    <w:rsid w:val="71F311C9"/>
    <w:rsid w:val="726B7E88"/>
    <w:rsid w:val="72B9171F"/>
    <w:rsid w:val="73542305"/>
    <w:rsid w:val="73BD43BC"/>
    <w:rsid w:val="73D6390C"/>
    <w:rsid w:val="73DF6CE5"/>
    <w:rsid w:val="75093B0F"/>
    <w:rsid w:val="75330BC7"/>
    <w:rsid w:val="760509DD"/>
    <w:rsid w:val="778C75A1"/>
    <w:rsid w:val="781F744E"/>
    <w:rsid w:val="78443EE7"/>
    <w:rsid w:val="7870336D"/>
    <w:rsid w:val="7889422B"/>
    <w:rsid w:val="79C267AC"/>
    <w:rsid w:val="7A2A110E"/>
    <w:rsid w:val="7A6543FB"/>
    <w:rsid w:val="7AAE5AF4"/>
    <w:rsid w:val="7B054683"/>
    <w:rsid w:val="7B2B2373"/>
    <w:rsid w:val="7BF70459"/>
    <w:rsid w:val="7C95557C"/>
    <w:rsid w:val="7CB97F17"/>
    <w:rsid w:val="7D2E035A"/>
    <w:rsid w:val="7DB95192"/>
    <w:rsid w:val="7DDB630F"/>
    <w:rsid w:val="7E145166"/>
    <w:rsid w:val="7E2666D8"/>
    <w:rsid w:val="7FDE2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2"/>
    <w:autoRedefine/>
    <w:unhideWhenUsed/>
    <w:qFormat/>
    <w:uiPriority w:val="99"/>
    <w:pPr>
      <w:ind w:left="100" w:leftChars="2500"/>
    </w:p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autoRedefine/>
    <w:qFormat/>
    <w:uiPriority w:val="0"/>
    <w:pPr>
      <w:spacing w:before="240" w:after="60"/>
      <w:jc w:val="center"/>
      <w:outlineLvl w:val="0"/>
    </w:pPr>
    <w:rPr>
      <w:rFonts w:asciiTheme="majorHAnsi" w:hAnsiTheme="majorHAnsi" w:cstheme="majorBidi"/>
      <w:b/>
      <w:bCs/>
      <w:sz w:val="32"/>
      <w:szCs w:val="32"/>
    </w:rPr>
  </w:style>
  <w:style w:type="character" w:customStyle="1" w:styleId="8">
    <w:name w:val="标题 Char"/>
    <w:basedOn w:val="7"/>
    <w:link w:val="5"/>
    <w:qFormat/>
    <w:uiPriority w:val="0"/>
    <w:rPr>
      <w:rFonts w:eastAsia="宋体" w:asciiTheme="majorHAnsi" w:hAnsiTheme="majorHAnsi" w:cstheme="majorBidi"/>
      <w:b/>
      <w:bCs/>
      <w:sz w:val="32"/>
      <w:szCs w:val="32"/>
    </w:rPr>
  </w:style>
  <w:style w:type="character" w:customStyle="1" w:styleId="9">
    <w:name w:val="页眉 Char"/>
    <w:basedOn w:val="7"/>
    <w:link w:val="4"/>
    <w:autoRedefine/>
    <w:semiHidden/>
    <w:qFormat/>
    <w:uiPriority w:val="99"/>
    <w:rPr>
      <w:rFonts w:ascii="Times New Roman" w:hAnsi="Times New Roman" w:eastAsia="宋体" w:cs="Times New Roman"/>
      <w:sz w:val="18"/>
      <w:szCs w:val="18"/>
    </w:rPr>
  </w:style>
  <w:style w:type="character" w:customStyle="1" w:styleId="10">
    <w:name w:val="页脚 Char"/>
    <w:basedOn w:val="7"/>
    <w:link w:val="3"/>
    <w:autoRedefine/>
    <w:semiHidden/>
    <w:qFormat/>
    <w:uiPriority w:val="99"/>
    <w:rPr>
      <w:rFonts w:ascii="Times New Roman" w:hAnsi="Times New Roman" w:eastAsia="宋体" w:cs="Times New Roman"/>
      <w:sz w:val="18"/>
      <w:szCs w:val="18"/>
    </w:rPr>
  </w:style>
  <w:style w:type="paragraph" w:customStyle="1" w:styleId="11">
    <w:name w:val="List Paragraph"/>
    <w:basedOn w:val="1"/>
    <w:unhideWhenUsed/>
    <w:qFormat/>
    <w:uiPriority w:val="99"/>
    <w:pPr>
      <w:ind w:firstLine="420" w:firstLineChars="200"/>
    </w:pPr>
  </w:style>
  <w:style w:type="character" w:customStyle="1" w:styleId="12">
    <w:name w:val="日期 Char"/>
    <w:basedOn w:val="7"/>
    <w:link w:val="2"/>
    <w:autoRedefine/>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A8B61C-DA9B-48E3-A6BC-004947ED392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1238</Words>
  <Characters>1341</Characters>
  <Lines>11</Lines>
  <Paragraphs>3</Paragraphs>
  <TotalTime>0</TotalTime>
  <ScaleCrop>false</ScaleCrop>
  <LinksUpToDate>false</LinksUpToDate>
  <CharactersWithSpaces>1342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2018-08-02T02:39:00Z</dcterms:created>
  <dc:creator>Administrator</dc:creator>
  <cp:lastModifiedBy>pc</cp:lastModifiedBy>
  <cp:lastPrinted>2024-05-14T01:15:00Z</cp:lastPrinted>
  <dcterms:modified xsi:type="dcterms:W3CDTF">2024-05-20T02:30:52Z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1FDF218ED4D4419EA0A53A3019EAE03E</vt:lpwstr>
  </property>
</Properties>
</file>