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horzAnchor="margin" w:tblpY="1845"/>
        <w:tblW w:w="14183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7"/>
        <w:gridCol w:w="4645"/>
        <w:gridCol w:w="2308"/>
        <w:gridCol w:w="1811"/>
        <w:gridCol w:w="2189"/>
        <w:gridCol w:w="130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4183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 w:line="390" w:lineRule="atLeast"/>
              <w:jc w:val="center"/>
              <w:rPr>
                <w:rFonts w:cs="宋体" w:asciiTheme="minorEastAsia" w:hAnsiTheme="minorEastAsia" w:eastAsiaTheme="minorEastAsia"/>
                <w:color w:val="333333"/>
                <w:sz w:val="32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32"/>
                <w:szCs w:val="24"/>
              </w:rPr>
              <w:t>台江区安全生产监督管理局普法责任清单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1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 w:line="390" w:lineRule="atLeast"/>
              <w:jc w:val="center"/>
              <w:rPr>
                <w:rFonts w:cs="宋体" w:asciiTheme="minorEastAsia" w:hAnsiTheme="minorEastAsia" w:eastAsiaTheme="minorEastAsia"/>
                <w:color w:val="333333"/>
                <w:sz w:val="32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32"/>
                <w:szCs w:val="24"/>
              </w:rPr>
              <w:t>普法责任主体</w:t>
            </w:r>
          </w:p>
        </w:tc>
        <w:tc>
          <w:tcPr>
            <w:tcW w:w="4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 w:line="390" w:lineRule="atLeast"/>
              <w:jc w:val="center"/>
              <w:rPr>
                <w:rFonts w:cs="宋体" w:asciiTheme="minorEastAsia" w:hAnsiTheme="minorEastAsia" w:eastAsiaTheme="minorEastAsia"/>
                <w:color w:val="333333"/>
                <w:sz w:val="32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32"/>
                <w:szCs w:val="24"/>
              </w:rPr>
              <w:t>普法内容</w:t>
            </w:r>
            <w:r>
              <w:rPr>
                <w:rFonts w:hint="eastAsia" w:cs="宋体" w:asciiTheme="minorEastAsia" w:hAnsiTheme="minorEastAsia" w:eastAsiaTheme="minorEastAsia"/>
                <w:color w:val="333333"/>
                <w:sz w:val="32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color w:val="333333"/>
                <w:sz w:val="32"/>
                <w:szCs w:val="24"/>
              </w:rPr>
              <w:t>（普及的法律法规）</w:t>
            </w:r>
          </w:p>
        </w:tc>
        <w:tc>
          <w:tcPr>
            <w:tcW w:w="23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 w:line="390" w:lineRule="atLeast"/>
              <w:jc w:val="center"/>
              <w:rPr>
                <w:rFonts w:cs="宋体" w:asciiTheme="minorEastAsia" w:hAnsiTheme="minorEastAsia" w:eastAsiaTheme="minorEastAsia"/>
                <w:color w:val="333333"/>
                <w:sz w:val="32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32"/>
                <w:szCs w:val="24"/>
              </w:rPr>
              <w:t>普法对象</w:t>
            </w:r>
          </w:p>
        </w:tc>
        <w:tc>
          <w:tcPr>
            <w:tcW w:w="18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 w:line="390" w:lineRule="atLeast"/>
              <w:jc w:val="center"/>
              <w:rPr>
                <w:rFonts w:cs="宋体" w:asciiTheme="minorEastAsia" w:hAnsiTheme="minorEastAsia" w:eastAsiaTheme="minorEastAsia"/>
                <w:color w:val="333333"/>
                <w:sz w:val="32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32"/>
                <w:szCs w:val="24"/>
              </w:rPr>
              <w:t>宣传载体</w:t>
            </w:r>
          </w:p>
        </w:tc>
        <w:tc>
          <w:tcPr>
            <w:tcW w:w="21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 w:line="390" w:lineRule="atLeast"/>
              <w:jc w:val="center"/>
              <w:rPr>
                <w:rFonts w:cs="宋体" w:asciiTheme="minorEastAsia" w:hAnsiTheme="minorEastAsia" w:eastAsiaTheme="minorEastAsia"/>
                <w:color w:val="333333"/>
                <w:sz w:val="32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32"/>
                <w:szCs w:val="24"/>
              </w:rPr>
              <w:t>活动方式</w:t>
            </w:r>
          </w:p>
        </w:tc>
        <w:tc>
          <w:tcPr>
            <w:tcW w:w="13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 w:line="390" w:lineRule="atLeast"/>
              <w:jc w:val="center"/>
              <w:rPr>
                <w:rFonts w:cs="宋体" w:asciiTheme="minorEastAsia" w:hAnsiTheme="minorEastAsia" w:eastAsiaTheme="minorEastAsia"/>
                <w:color w:val="333333"/>
                <w:sz w:val="32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32"/>
                <w:szCs w:val="24"/>
              </w:rPr>
              <w:t>实施时间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92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 w:line="390" w:lineRule="atLeast"/>
              <w:jc w:val="center"/>
              <w:rPr>
                <w:rFonts w:ascii="仿宋" w:hAnsi="仿宋" w:eastAsia="仿宋" w:cs="宋体"/>
                <w:color w:val="333333"/>
                <w:sz w:val="32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32"/>
                <w:szCs w:val="24"/>
                <w:lang w:eastAsia="zh-CN"/>
              </w:rPr>
              <w:t>台江</w:t>
            </w:r>
            <w:r>
              <w:rPr>
                <w:rFonts w:hint="eastAsia" w:ascii="仿宋" w:hAnsi="仿宋" w:eastAsia="仿宋" w:cs="宋体"/>
                <w:color w:val="333333"/>
                <w:sz w:val="32"/>
                <w:szCs w:val="24"/>
              </w:rPr>
              <w:t>区</w:t>
            </w:r>
            <w:r>
              <w:rPr>
                <w:rFonts w:hint="eastAsia" w:ascii="仿宋" w:hAnsi="仿宋" w:eastAsia="仿宋" w:cs="宋体"/>
                <w:color w:val="333333"/>
                <w:sz w:val="32"/>
                <w:szCs w:val="24"/>
                <w:lang w:val="en-US" w:eastAsia="zh-CN"/>
              </w:rPr>
              <w:t>应急</w:t>
            </w:r>
            <w:r>
              <w:rPr>
                <w:rFonts w:hint="eastAsia" w:ascii="仿宋" w:hAnsi="仿宋" w:eastAsia="仿宋" w:cs="宋体"/>
                <w:color w:val="333333"/>
                <w:sz w:val="32"/>
                <w:szCs w:val="24"/>
              </w:rPr>
              <w:t>管理局</w:t>
            </w:r>
          </w:p>
        </w:tc>
        <w:tc>
          <w:tcPr>
            <w:tcW w:w="4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 w:line="390" w:lineRule="atLeast"/>
              <w:jc w:val="center"/>
              <w:rPr>
                <w:rFonts w:ascii="仿宋" w:hAnsi="仿宋" w:eastAsia="仿宋" w:cs="宋体"/>
                <w:color w:val="333333"/>
                <w:sz w:val="32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32"/>
                <w:szCs w:val="24"/>
              </w:rPr>
              <w:t>《中华人民共和国安全生产法》</w:t>
            </w:r>
          </w:p>
        </w:tc>
        <w:tc>
          <w:tcPr>
            <w:tcW w:w="230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 w:line="390" w:lineRule="atLeast"/>
              <w:jc w:val="center"/>
              <w:rPr>
                <w:rFonts w:ascii="仿宋" w:hAnsi="仿宋" w:eastAsia="仿宋" w:cs="宋体"/>
                <w:color w:val="333333"/>
                <w:sz w:val="32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32"/>
                <w:szCs w:val="24"/>
              </w:rPr>
              <w:t>本单位工作人员</w:t>
            </w:r>
            <w:r>
              <w:rPr>
                <w:rFonts w:hint="eastAsia" w:ascii="仿宋" w:hAnsi="仿宋" w:eastAsia="仿宋" w:cs="宋体"/>
                <w:color w:val="333333"/>
                <w:sz w:val="32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color w:val="333333"/>
                <w:sz w:val="32"/>
                <w:szCs w:val="24"/>
              </w:rPr>
              <w:t>市民</w:t>
            </w:r>
            <w:r>
              <w:rPr>
                <w:rFonts w:hint="eastAsia" w:ascii="仿宋" w:hAnsi="仿宋" w:eastAsia="仿宋" w:cs="宋体"/>
                <w:color w:val="333333"/>
                <w:sz w:val="32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color w:val="333333"/>
                <w:sz w:val="32"/>
                <w:szCs w:val="24"/>
              </w:rPr>
              <w:t>生产经营单位</w:t>
            </w:r>
          </w:p>
        </w:tc>
        <w:tc>
          <w:tcPr>
            <w:tcW w:w="181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 w:line="390" w:lineRule="atLeast"/>
              <w:jc w:val="center"/>
              <w:rPr>
                <w:rFonts w:ascii="仿宋" w:hAnsi="仿宋" w:eastAsia="仿宋" w:cs="宋体"/>
                <w:color w:val="333333"/>
                <w:sz w:val="32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32"/>
                <w:szCs w:val="24"/>
              </w:rPr>
              <w:t>门户网站</w:t>
            </w:r>
            <w:r>
              <w:rPr>
                <w:rFonts w:hint="eastAsia" w:ascii="仿宋" w:hAnsi="仿宋" w:eastAsia="仿宋" w:cs="宋体"/>
                <w:color w:val="333333"/>
                <w:sz w:val="32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color w:val="333333"/>
                <w:sz w:val="32"/>
                <w:szCs w:val="24"/>
              </w:rPr>
              <w:t>微博、微信</w:t>
            </w:r>
            <w:r>
              <w:rPr>
                <w:rFonts w:hint="eastAsia" w:ascii="仿宋" w:hAnsi="仿宋" w:eastAsia="仿宋" w:cs="宋体"/>
                <w:color w:val="333333"/>
                <w:sz w:val="32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color w:val="333333"/>
                <w:sz w:val="32"/>
                <w:szCs w:val="24"/>
              </w:rPr>
              <w:t>户外宣传栏等</w:t>
            </w:r>
          </w:p>
        </w:tc>
        <w:tc>
          <w:tcPr>
            <w:tcW w:w="218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 w:line="390" w:lineRule="atLeast"/>
              <w:jc w:val="center"/>
              <w:rPr>
                <w:rFonts w:ascii="仿宋" w:hAnsi="仿宋" w:eastAsia="仿宋" w:cs="宋体"/>
                <w:color w:val="333333"/>
                <w:sz w:val="32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32"/>
                <w:szCs w:val="24"/>
              </w:rPr>
              <w:t>当面宣传、</w:t>
            </w:r>
          </w:p>
          <w:p>
            <w:pPr>
              <w:adjustRightInd/>
              <w:snapToGrid/>
              <w:spacing w:after="0" w:line="390" w:lineRule="atLeast"/>
              <w:jc w:val="center"/>
              <w:rPr>
                <w:rFonts w:hint="eastAsia" w:ascii="仿宋" w:hAnsi="仿宋" w:eastAsia="仿宋" w:cs="宋体"/>
                <w:color w:val="333333"/>
                <w:sz w:val="32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32"/>
                <w:szCs w:val="24"/>
              </w:rPr>
              <w:t>咨询答复、</w:t>
            </w:r>
          </w:p>
          <w:p>
            <w:pPr>
              <w:adjustRightInd/>
              <w:snapToGrid/>
              <w:spacing w:after="0" w:line="390" w:lineRule="atLeast"/>
              <w:jc w:val="center"/>
              <w:rPr>
                <w:rFonts w:hint="eastAsia" w:ascii="仿宋" w:hAnsi="仿宋" w:eastAsia="仿宋" w:cs="宋体"/>
                <w:color w:val="333333"/>
                <w:sz w:val="32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32"/>
                <w:szCs w:val="24"/>
              </w:rPr>
              <w:t>以案释法、</w:t>
            </w:r>
          </w:p>
          <w:p>
            <w:pPr>
              <w:adjustRightInd/>
              <w:snapToGrid/>
              <w:spacing w:after="0" w:line="390" w:lineRule="atLeast"/>
              <w:ind w:firstLine="320" w:firstLineChars="100"/>
              <w:jc w:val="both"/>
              <w:rPr>
                <w:rFonts w:ascii="仿宋" w:hAnsi="仿宋" w:eastAsia="仿宋" w:cs="宋体"/>
                <w:color w:val="333333"/>
                <w:sz w:val="32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32"/>
                <w:szCs w:val="24"/>
              </w:rPr>
              <w:t>家授课等</w:t>
            </w:r>
          </w:p>
        </w:tc>
        <w:tc>
          <w:tcPr>
            <w:tcW w:w="130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 w:line="390" w:lineRule="atLeast"/>
              <w:jc w:val="center"/>
              <w:rPr>
                <w:rFonts w:ascii="仿宋" w:hAnsi="仿宋" w:eastAsia="仿宋" w:cs="宋体"/>
                <w:color w:val="333333"/>
                <w:sz w:val="32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32"/>
                <w:szCs w:val="24"/>
              </w:rPr>
              <w:t>全年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192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333333"/>
                <w:sz w:val="32"/>
                <w:szCs w:val="21"/>
              </w:rPr>
            </w:pPr>
          </w:p>
        </w:tc>
        <w:tc>
          <w:tcPr>
            <w:tcW w:w="4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 w:line="390" w:lineRule="atLeast"/>
              <w:jc w:val="center"/>
              <w:rPr>
                <w:rFonts w:ascii="仿宋" w:hAnsi="仿宋" w:eastAsia="仿宋" w:cs="宋体"/>
                <w:color w:val="333333"/>
                <w:sz w:val="32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32"/>
                <w:szCs w:val="24"/>
              </w:rPr>
              <w:t>《福建省安全生产条例》</w:t>
            </w:r>
          </w:p>
        </w:tc>
        <w:tc>
          <w:tcPr>
            <w:tcW w:w="23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333333"/>
                <w:sz w:val="32"/>
                <w:szCs w:val="21"/>
              </w:rPr>
            </w:pPr>
          </w:p>
        </w:tc>
        <w:tc>
          <w:tcPr>
            <w:tcW w:w="181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333333"/>
                <w:sz w:val="32"/>
                <w:szCs w:val="21"/>
              </w:rPr>
            </w:pPr>
          </w:p>
        </w:tc>
        <w:tc>
          <w:tcPr>
            <w:tcW w:w="218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333333"/>
                <w:sz w:val="32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333333"/>
                <w:sz w:val="32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192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333333"/>
                <w:sz w:val="32"/>
                <w:szCs w:val="21"/>
              </w:rPr>
            </w:pPr>
          </w:p>
        </w:tc>
        <w:tc>
          <w:tcPr>
            <w:tcW w:w="4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 w:line="390" w:lineRule="atLeast"/>
              <w:jc w:val="center"/>
              <w:rPr>
                <w:rFonts w:ascii="仿宋" w:hAnsi="仿宋" w:eastAsia="仿宋" w:cs="宋体"/>
                <w:color w:val="333333"/>
                <w:sz w:val="32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32"/>
                <w:szCs w:val="24"/>
              </w:rPr>
              <w:t>《中华人民共和国职业病防治法》</w:t>
            </w:r>
          </w:p>
        </w:tc>
        <w:tc>
          <w:tcPr>
            <w:tcW w:w="23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333333"/>
                <w:sz w:val="32"/>
                <w:szCs w:val="21"/>
              </w:rPr>
            </w:pPr>
          </w:p>
        </w:tc>
        <w:tc>
          <w:tcPr>
            <w:tcW w:w="181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333333"/>
                <w:sz w:val="32"/>
                <w:szCs w:val="21"/>
              </w:rPr>
            </w:pPr>
          </w:p>
        </w:tc>
        <w:tc>
          <w:tcPr>
            <w:tcW w:w="218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 w:line="390" w:lineRule="atLeast"/>
              <w:jc w:val="center"/>
              <w:rPr>
                <w:rFonts w:ascii="仿宋" w:hAnsi="仿宋" w:eastAsia="仿宋" w:cs="宋体"/>
                <w:color w:val="333333"/>
                <w:sz w:val="32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32"/>
                <w:szCs w:val="24"/>
              </w:rPr>
              <w:t>当面宣传</w:t>
            </w:r>
            <w:r>
              <w:rPr>
                <w:rFonts w:hint="eastAsia" w:ascii="仿宋" w:hAnsi="仿宋" w:eastAsia="仿宋" w:cs="宋体"/>
                <w:color w:val="333333"/>
                <w:sz w:val="32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color w:val="333333"/>
                <w:sz w:val="32"/>
                <w:szCs w:val="24"/>
              </w:rPr>
              <w:t>咨询答复</w:t>
            </w:r>
            <w:r>
              <w:rPr>
                <w:rFonts w:hint="eastAsia" w:ascii="仿宋" w:hAnsi="仿宋" w:eastAsia="仿宋" w:cs="宋体"/>
                <w:color w:val="333333"/>
                <w:sz w:val="32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color w:val="333333"/>
                <w:sz w:val="32"/>
                <w:szCs w:val="24"/>
              </w:rPr>
              <w:t>以案释法等</w:t>
            </w:r>
          </w:p>
        </w:tc>
        <w:tc>
          <w:tcPr>
            <w:tcW w:w="130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333333"/>
                <w:sz w:val="32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192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333333"/>
                <w:sz w:val="32"/>
                <w:szCs w:val="21"/>
              </w:rPr>
            </w:pPr>
          </w:p>
        </w:tc>
        <w:tc>
          <w:tcPr>
            <w:tcW w:w="4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 w:line="390" w:lineRule="atLeast"/>
              <w:jc w:val="center"/>
              <w:rPr>
                <w:rFonts w:hint="eastAsia" w:ascii="仿宋" w:hAnsi="仿宋" w:eastAsia="仿宋" w:cs="宋体"/>
                <w:color w:val="333333"/>
                <w:sz w:val="32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32"/>
                <w:szCs w:val="24"/>
              </w:rPr>
              <w:t>《危险化学品安全管理条例》</w:t>
            </w:r>
          </w:p>
          <w:p>
            <w:pPr>
              <w:adjustRightInd/>
              <w:snapToGrid/>
              <w:spacing w:after="0" w:line="390" w:lineRule="atLeast"/>
              <w:jc w:val="center"/>
              <w:rPr>
                <w:rFonts w:ascii="仿宋" w:hAnsi="仿宋" w:eastAsia="仿宋" w:cs="宋体"/>
                <w:color w:val="333333"/>
                <w:sz w:val="32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32"/>
                <w:szCs w:val="24"/>
              </w:rPr>
              <w:t>《烟花爆竹安全管理条例》等</w:t>
            </w:r>
          </w:p>
        </w:tc>
        <w:tc>
          <w:tcPr>
            <w:tcW w:w="23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333333"/>
                <w:sz w:val="32"/>
                <w:szCs w:val="21"/>
              </w:rPr>
            </w:pPr>
          </w:p>
        </w:tc>
        <w:tc>
          <w:tcPr>
            <w:tcW w:w="181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333333"/>
                <w:sz w:val="32"/>
                <w:szCs w:val="21"/>
              </w:rPr>
            </w:pPr>
          </w:p>
        </w:tc>
        <w:tc>
          <w:tcPr>
            <w:tcW w:w="218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333333"/>
                <w:sz w:val="32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333333"/>
                <w:sz w:val="32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192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333333"/>
                <w:sz w:val="32"/>
                <w:szCs w:val="21"/>
              </w:rPr>
            </w:pPr>
          </w:p>
        </w:tc>
        <w:tc>
          <w:tcPr>
            <w:tcW w:w="4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 w:line="390" w:lineRule="atLeast"/>
              <w:jc w:val="center"/>
              <w:rPr>
                <w:rFonts w:ascii="仿宋" w:hAnsi="仿宋" w:eastAsia="仿宋" w:cs="宋体"/>
                <w:color w:val="333333"/>
                <w:sz w:val="32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32"/>
                <w:szCs w:val="24"/>
              </w:rPr>
              <w:t>《生产经营单位安全培训规定》</w:t>
            </w:r>
            <w:r>
              <w:rPr>
                <w:rFonts w:hint="eastAsia" w:ascii="仿宋" w:hAnsi="仿宋" w:eastAsia="仿宋" w:cs="宋体"/>
                <w:color w:val="333333"/>
                <w:sz w:val="32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color w:val="333333"/>
                <w:sz w:val="32"/>
                <w:szCs w:val="24"/>
              </w:rPr>
              <w:t>《特种作业人员安全技术培训考核管理规定》等</w:t>
            </w:r>
          </w:p>
        </w:tc>
        <w:tc>
          <w:tcPr>
            <w:tcW w:w="23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333333"/>
                <w:sz w:val="32"/>
                <w:szCs w:val="21"/>
              </w:rPr>
            </w:pPr>
          </w:p>
        </w:tc>
        <w:tc>
          <w:tcPr>
            <w:tcW w:w="181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333333"/>
                <w:sz w:val="32"/>
                <w:szCs w:val="21"/>
              </w:rPr>
            </w:pPr>
          </w:p>
        </w:tc>
        <w:tc>
          <w:tcPr>
            <w:tcW w:w="218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333333"/>
                <w:sz w:val="32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333333"/>
                <w:sz w:val="32"/>
                <w:szCs w:val="21"/>
              </w:rPr>
            </w:pPr>
          </w:p>
        </w:tc>
      </w:tr>
    </w:tbl>
    <w:p>
      <w:pPr>
        <w:shd w:val="clear" w:color="auto" w:fill="FFFFFF"/>
        <w:adjustRightInd/>
        <w:snapToGrid/>
        <w:spacing w:after="0" w:line="390" w:lineRule="atLeast"/>
        <w:rPr>
          <w:rFonts w:ascii="宋体" w:hAnsi="宋体" w:eastAsia="宋体" w:cs="宋体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1"/>
          <w:szCs w:val="21"/>
        </w:rPr>
        <w:t> </w:t>
      </w:r>
    </w:p>
    <w:p>
      <w:pPr>
        <w:tabs>
          <w:tab w:val="center" w:pos="6979"/>
          <w:tab w:val="left" w:pos="11220"/>
        </w:tabs>
        <w:spacing w:after="0" w:line="560" w:lineRule="exact"/>
        <w:jc w:val="left"/>
        <w:rPr>
          <w:rFonts w:hint="default" w:eastAsia="方正小标宋简体"/>
          <w:lang w:val="en-US" w:eastAsia="zh-CN"/>
        </w:rPr>
        <w:sectPr>
          <w:pgSz w:w="16838" w:h="11906" w:orient="landscape"/>
          <w:pgMar w:top="1800" w:right="1440" w:bottom="1800" w:left="1440" w:header="708" w:footer="708" w:gutter="0"/>
          <w:cols w:space="708" w:num="1"/>
          <w:docGrid w:linePitch="360" w:charSpace="0"/>
        </w:sectPr>
      </w:pPr>
      <w:r>
        <w:rPr>
          <w:rFonts w:hint="eastAsia" w:ascii="方正小标宋简体" w:hAnsi="仿宋" w:eastAsia="方正小标宋简体"/>
          <w:bCs/>
          <w:color w:val="000000" w:themeColor="text1"/>
          <w:sz w:val="44"/>
          <w:szCs w:val="44"/>
          <w:shd w:val="clear" w:color="auto" w:fill="FFFFFF"/>
          <w:lang w:eastAsia="zh-CN"/>
        </w:rPr>
        <w:tab/>
      </w:r>
      <w:r>
        <w:rPr>
          <w:rFonts w:hint="eastAsia" w:ascii="方正小标宋简体" w:hAnsi="仿宋" w:eastAsia="方正小标宋简体"/>
          <w:bCs/>
          <w:color w:val="000000" w:themeColor="text1"/>
          <w:sz w:val="44"/>
          <w:szCs w:val="44"/>
          <w:shd w:val="clear" w:color="auto" w:fill="FFFFFF"/>
        </w:rPr>
        <w:t>台江区</w:t>
      </w:r>
      <w:r>
        <w:rPr>
          <w:rFonts w:hint="eastAsia" w:ascii="方正小标宋简体" w:hAnsi="仿宋" w:eastAsia="方正小标宋简体"/>
          <w:bCs/>
          <w:color w:val="000000" w:themeColor="text1"/>
          <w:sz w:val="44"/>
          <w:szCs w:val="44"/>
          <w:shd w:val="clear" w:color="auto" w:fill="FFFFFF"/>
          <w:lang w:val="en-US" w:eastAsia="zh-CN"/>
        </w:rPr>
        <w:t>应急管理</w:t>
      </w:r>
      <w:r>
        <w:rPr>
          <w:rFonts w:hint="eastAsia" w:ascii="方正小标宋简体" w:hAnsi="仿宋" w:eastAsia="方正小标宋简体"/>
          <w:bCs/>
          <w:color w:val="000000" w:themeColor="text1"/>
          <w:sz w:val="44"/>
          <w:szCs w:val="44"/>
          <w:shd w:val="clear" w:color="auto" w:fill="FFFFFF"/>
        </w:rPr>
        <w:t>局20</w:t>
      </w:r>
      <w:r>
        <w:rPr>
          <w:rFonts w:hint="eastAsia" w:ascii="方正小标宋简体" w:hAnsi="仿宋" w:eastAsia="方正小标宋简体"/>
          <w:bCs/>
          <w:color w:val="000000" w:themeColor="text1"/>
          <w:sz w:val="44"/>
          <w:szCs w:val="44"/>
          <w:shd w:val="clear" w:color="auto" w:fill="FFFFFF"/>
          <w:lang w:val="en-US" w:eastAsia="zh-CN"/>
        </w:rPr>
        <w:t>20</w:t>
      </w:r>
      <w:r>
        <w:rPr>
          <w:rFonts w:hint="eastAsia" w:ascii="方正小标宋简体" w:hAnsi="仿宋" w:eastAsia="方正小标宋简体"/>
          <w:bCs/>
          <w:color w:val="000000" w:themeColor="text1"/>
          <w:sz w:val="44"/>
          <w:szCs w:val="44"/>
          <w:shd w:val="clear" w:color="auto" w:fill="FFFFFF"/>
        </w:rPr>
        <w:t>年普法责任</w:t>
      </w:r>
      <w:r>
        <w:rPr>
          <w:rFonts w:hint="eastAsia" w:ascii="方正小标宋简体" w:hAnsi="仿宋" w:eastAsia="方正小标宋简体"/>
          <w:bCs/>
          <w:color w:val="000000" w:themeColor="text1"/>
          <w:sz w:val="44"/>
          <w:szCs w:val="44"/>
          <w:shd w:val="clear" w:color="auto" w:fill="FFFFFF"/>
          <w:lang w:val="en-US" w:eastAsia="zh-CN"/>
        </w:rPr>
        <w:t>清</w:t>
      </w:r>
      <w:bookmarkStart w:id="0" w:name="_GoBack"/>
      <w:bookmarkEnd w:id="0"/>
      <w:r>
        <w:rPr>
          <w:rFonts w:hint="eastAsia" w:ascii="方正小标宋简体" w:hAnsi="仿宋" w:eastAsia="方正小标宋简体"/>
          <w:bCs/>
          <w:color w:val="000000" w:themeColor="text1"/>
          <w:sz w:val="44"/>
          <w:szCs w:val="44"/>
          <w:shd w:val="clear" w:color="auto" w:fill="FFFFFF"/>
          <w:lang w:val="en-US" w:eastAsia="zh-CN"/>
        </w:rPr>
        <w:t>单</w:t>
      </w:r>
    </w:p>
    <w:p>
      <w:pPr>
        <w:shd w:val="clear" w:color="auto" w:fill="FFFFFF"/>
        <w:adjustRightInd/>
        <w:snapToGrid/>
        <w:spacing w:after="543" w:afterLines="150" w:afterAutospacing="0" w:line="240" w:lineRule="auto"/>
        <w:jc w:val="both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323B43"/>
    <w:rsid w:val="003D37D8"/>
    <w:rsid w:val="00426133"/>
    <w:rsid w:val="004358AB"/>
    <w:rsid w:val="008B7726"/>
    <w:rsid w:val="00B9025D"/>
    <w:rsid w:val="00D31D50"/>
    <w:rsid w:val="00D33F23"/>
    <w:rsid w:val="00E1644A"/>
    <w:rsid w:val="00E445A0"/>
    <w:rsid w:val="33E81B87"/>
    <w:rsid w:val="6F2E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8">
    <w:name w:val="页眉 Char"/>
    <w:basedOn w:val="7"/>
    <w:link w:val="4"/>
    <w:semiHidden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</Words>
  <Characters>479</Characters>
  <Lines>3</Lines>
  <Paragraphs>1</Paragraphs>
  <TotalTime>38</TotalTime>
  <ScaleCrop>false</ScaleCrop>
  <LinksUpToDate>false</LinksUpToDate>
  <CharactersWithSpaces>561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MeM～</cp:lastModifiedBy>
  <cp:lastPrinted>2018-01-28T03:05:00Z</cp:lastPrinted>
  <dcterms:modified xsi:type="dcterms:W3CDTF">2021-04-15T03:18:32Z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