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vertAlign w:val="baseline"/>
          <w:lang w:val="en-US" w:eastAsia="zh-CN"/>
        </w:rPr>
        <w:t>台江区第五批非物质文化遗产代表性项目名录</w:t>
      </w:r>
    </w:p>
    <w:tbl>
      <w:tblPr>
        <w:tblStyle w:val="7"/>
        <w:tblW w:w="86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550"/>
        <w:gridCol w:w="4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0" w:hRule="exact"/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4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4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佛跳墙制作技艺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4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闽菜红曲糟菜制作技艺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4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晓斋古书画修复技艺</w:t>
            </w:r>
          </w:p>
        </w:tc>
      </w:tr>
    </w:tbl>
    <w:p>
      <w:pPr>
        <w:jc w:val="both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7" w:right="1417" w:bottom="1587" w:left="1587" w:header="850" w:footer="1360" w:gutter="0"/>
      <w:cols w:space="720" w:num="1"/>
      <w:docGrid w:type="linesAndChars" w:linePitch="574" w:charSpace="-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01"/>
    <w:family w:val="script"/>
    <w:pitch w:val="default"/>
    <w:sig w:usb0="00000000" w:usb1="00000000" w:usb2="00000010" w:usb3="00000000" w:csb0="003C004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11"/>
      <w:jc w:val="right"/>
      <w:rPr>
        <w:rFonts w:hint="eastAsia" w:ascii="楷体_GB2312" w:eastAsia="楷体_GB2312"/>
        <w:sz w:val="28"/>
      </w:rPr>
    </w:pPr>
    <w:r>
      <w:rPr>
        <w:rStyle w:val="5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5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5"/>
        <w:rFonts w:hint="eastAsia"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5"/>
        <w:rFonts w:hint="eastAsia" w:ascii="楷体_GB2312" w:eastAsia="楷体_GB2312"/>
        <w:sz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楷体_GB2312" w:eastAsia="楷体_GB2312"/>
        <w:sz w:val="28"/>
      </w:rPr>
    </w:pPr>
    <w:r>
      <w:rPr>
        <w:rStyle w:val="5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5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5"/>
        <w:rFonts w:hint="eastAsia"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Style w:val="5"/>
        <w:rFonts w:hint="eastAsia" w:ascii="楷体_GB2312" w:eastAsia="楷体_GB2312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206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/>
      <w:spacing w:val="0"/>
      <w:kern w:val="2"/>
      <w:sz w:val="32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HP-PC</dc:creator>
  <cp:lastModifiedBy>HP-PC</cp:lastModifiedBy>
  <dcterms:modified xsi:type="dcterms:W3CDTF">2020-06-18T07:19:40Z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